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40553" w14:textId="57315C03" w:rsidR="00FC233A" w:rsidRDefault="009556DA" w:rsidP="009556DA">
      <w:pPr>
        <w:autoSpaceDE w:val="0"/>
        <w:autoSpaceDN w:val="0"/>
        <w:adjustRightInd w:val="0"/>
        <w:spacing w:after="0" w:line="240" w:lineRule="auto"/>
        <w:rPr>
          <w:rFonts w:cstheme="minorHAnsi"/>
          <w:i/>
          <w:lang w:val="en-SG"/>
        </w:rPr>
      </w:pPr>
      <w:r w:rsidRPr="009556DA">
        <w:rPr>
          <w:rFonts w:cstheme="minorHAnsi"/>
          <w:i/>
          <w:lang w:val="en-SG"/>
        </w:rPr>
        <w:t>A comprehensive analysis of EPC contracts and of the</w:t>
      </w:r>
      <w:r>
        <w:rPr>
          <w:rFonts w:cstheme="minorHAnsi"/>
          <w:i/>
          <w:lang w:val="en-SG"/>
        </w:rPr>
        <w:t xml:space="preserve"> </w:t>
      </w:r>
      <w:r w:rsidRPr="009556DA">
        <w:rPr>
          <w:rFonts w:cstheme="minorHAnsi"/>
          <w:i/>
          <w:lang w:val="en-SG"/>
        </w:rPr>
        <w:t>key considerations in projects and disputes where such</w:t>
      </w:r>
      <w:r>
        <w:rPr>
          <w:rFonts w:cstheme="minorHAnsi"/>
          <w:i/>
          <w:lang w:val="en-SG"/>
        </w:rPr>
        <w:t xml:space="preserve"> </w:t>
      </w:r>
      <w:r w:rsidRPr="009556DA">
        <w:rPr>
          <w:rFonts w:cstheme="minorHAnsi"/>
          <w:i/>
          <w:lang w:val="en-SG"/>
        </w:rPr>
        <w:t xml:space="preserve">contracts are </w:t>
      </w:r>
      <w:proofErr w:type="gramStart"/>
      <w:r w:rsidRPr="009556DA">
        <w:rPr>
          <w:rFonts w:cstheme="minorHAnsi"/>
          <w:i/>
          <w:lang w:val="en-SG"/>
        </w:rPr>
        <w:t>used</w:t>
      </w:r>
      <w:proofErr w:type="gramEnd"/>
    </w:p>
    <w:p w14:paraId="1BA3C106" w14:textId="77777777" w:rsidR="009556DA" w:rsidRPr="00536A35" w:rsidRDefault="009556DA" w:rsidP="009556DA">
      <w:pPr>
        <w:autoSpaceDE w:val="0"/>
        <w:autoSpaceDN w:val="0"/>
        <w:adjustRightInd w:val="0"/>
        <w:spacing w:after="0" w:line="240" w:lineRule="auto"/>
        <w:rPr>
          <w:rFonts w:cstheme="minorHAnsi"/>
          <w:i/>
          <w:lang w:val="en-SG"/>
        </w:rPr>
      </w:pPr>
    </w:p>
    <w:p w14:paraId="285986F2" w14:textId="77777777" w:rsidR="009556DA" w:rsidRDefault="009556DA" w:rsidP="009556DA">
      <w:pPr>
        <w:spacing w:after="0" w:line="240" w:lineRule="auto"/>
        <w:rPr>
          <w:rFonts w:cstheme="minorHAnsi"/>
          <w:b/>
        </w:rPr>
      </w:pPr>
      <w:r w:rsidRPr="009556DA">
        <w:rPr>
          <w:rFonts w:cstheme="minorHAnsi"/>
          <w:b/>
        </w:rPr>
        <w:t>EPC Contracts</w:t>
      </w:r>
      <w:r>
        <w:rPr>
          <w:rFonts w:cstheme="minorHAnsi"/>
          <w:b/>
        </w:rPr>
        <w:t xml:space="preserve"> </w:t>
      </w:r>
      <w:r w:rsidRPr="009556DA">
        <w:rPr>
          <w:rFonts w:cstheme="minorHAnsi"/>
          <w:b/>
        </w:rPr>
        <w:t>for Energy Industry</w:t>
      </w:r>
    </w:p>
    <w:p w14:paraId="569D4A5F" w14:textId="0D4C5A89" w:rsidR="00536A35" w:rsidRDefault="00536A35" w:rsidP="009556DA">
      <w:pPr>
        <w:spacing w:after="0" w:line="240" w:lineRule="auto"/>
        <w:rPr>
          <w:rFonts w:cstheme="minorHAnsi"/>
          <w:b/>
          <w:bCs/>
          <w:lang w:val="en-SG"/>
        </w:rPr>
      </w:pPr>
      <w:r w:rsidRPr="00536A35">
        <w:rPr>
          <w:rFonts w:cstheme="minorHAnsi"/>
          <w:lang w:val="en-SG"/>
        </w:rPr>
        <w:t xml:space="preserve">LIVE ONLINE COURSE OVER </w:t>
      </w:r>
      <w:r w:rsidR="009556DA">
        <w:rPr>
          <w:rFonts w:cstheme="minorHAnsi"/>
          <w:lang w:val="en-SG"/>
        </w:rPr>
        <w:t>5</w:t>
      </w:r>
      <w:r w:rsidRPr="00536A35">
        <w:rPr>
          <w:rFonts w:cstheme="minorHAnsi"/>
          <w:lang w:val="en-SG"/>
        </w:rPr>
        <w:t xml:space="preserve"> SESSIONS</w:t>
      </w:r>
      <w:r w:rsidRPr="00536A35">
        <w:rPr>
          <w:rFonts w:cstheme="minorHAnsi"/>
          <w:lang w:val="en-SG"/>
        </w:rPr>
        <w:br/>
      </w:r>
      <w:r w:rsidR="009556DA" w:rsidRPr="009556DA">
        <w:rPr>
          <w:rFonts w:cstheme="minorHAnsi"/>
          <w:b/>
          <w:bCs/>
          <w:lang w:val="en-SG"/>
        </w:rPr>
        <w:t>Commences: 2 March 2021</w:t>
      </w:r>
      <w:r w:rsidR="0008239C">
        <w:rPr>
          <w:rFonts w:cstheme="minorHAnsi"/>
          <w:b/>
          <w:bCs/>
          <w:lang w:val="en-SG"/>
        </w:rPr>
        <w:t xml:space="preserve"> – 10 March 2021 (7am – 10am)</w:t>
      </w:r>
    </w:p>
    <w:p w14:paraId="0F852BD4" w14:textId="036B3D39" w:rsidR="00536A35" w:rsidRPr="009556DA" w:rsidRDefault="00917CEF" w:rsidP="00165944">
      <w:pPr>
        <w:spacing w:after="0" w:line="240" w:lineRule="auto"/>
        <w:rPr>
          <w:rFonts w:cstheme="minorHAnsi"/>
        </w:rPr>
      </w:pPr>
      <w:hyperlink r:id="rId5" w:history="1">
        <w:r w:rsidR="009556DA" w:rsidRPr="005A7139">
          <w:rPr>
            <w:rStyle w:val="Hyperlink"/>
            <w:rFonts w:cstheme="minorHAnsi"/>
          </w:rPr>
          <w:t>https://www.infocusinternational.com/epc-online</w:t>
        </w:r>
      </w:hyperlink>
      <w:r w:rsidR="009556DA">
        <w:rPr>
          <w:rFonts w:cstheme="minorHAnsi"/>
        </w:rPr>
        <w:t xml:space="preserve"> </w:t>
      </w:r>
    </w:p>
    <w:p w14:paraId="7C834B5B" w14:textId="30A30B67" w:rsidR="00604289" w:rsidRPr="00536A35" w:rsidRDefault="00604289" w:rsidP="00165944">
      <w:pPr>
        <w:spacing w:after="0" w:line="240" w:lineRule="auto"/>
        <w:rPr>
          <w:rFonts w:cstheme="minorHAnsi"/>
        </w:rPr>
      </w:pPr>
    </w:p>
    <w:p w14:paraId="69410691" w14:textId="463454D7" w:rsidR="00536A35" w:rsidRDefault="006B7F99" w:rsidP="009556DA">
      <w:pPr>
        <w:autoSpaceDE w:val="0"/>
        <w:autoSpaceDN w:val="0"/>
        <w:adjustRightInd w:val="0"/>
        <w:spacing w:after="0" w:line="240" w:lineRule="auto"/>
        <w:jc w:val="both"/>
        <w:rPr>
          <w:rFonts w:cstheme="minorHAnsi"/>
          <w:lang w:val="en-SG"/>
        </w:rPr>
      </w:pPr>
      <w:r w:rsidRPr="00536A35">
        <w:rPr>
          <w:rFonts w:cstheme="minorHAnsi"/>
          <w:b/>
        </w:rPr>
        <w:t>Overview</w:t>
      </w:r>
      <w:r w:rsidR="00604289" w:rsidRPr="00536A35">
        <w:rPr>
          <w:rFonts w:cstheme="minorHAnsi"/>
          <w:b/>
        </w:rPr>
        <w:br/>
      </w:r>
      <w:r w:rsidRPr="00536A35">
        <w:rPr>
          <w:rFonts w:cstheme="minorHAnsi"/>
          <w:b/>
        </w:rPr>
        <w:br/>
      </w:r>
      <w:r w:rsidR="009556DA" w:rsidRPr="009556DA">
        <w:rPr>
          <w:rFonts w:cstheme="minorHAnsi"/>
          <w:lang w:val="en-SG"/>
        </w:rPr>
        <w:t>This course provides an in-depth analysis of EPC contracts, their interface with other project</w:t>
      </w:r>
      <w:r w:rsidR="009556DA">
        <w:rPr>
          <w:rFonts w:cstheme="minorHAnsi"/>
          <w:lang w:val="en-SG"/>
        </w:rPr>
        <w:t xml:space="preserve"> </w:t>
      </w:r>
      <w:r w:rsidR="009556DA" w:rsidRPr="009556DA">
        <w:rPr>
          <w:rFonts w:cstheme="minorHAnsi"/>
          <w:lang w:val="en-SG"/>
        </w:rPr>
        <w:t>documents and their role in the project lifecycle.</w:t>
      </w:r>
      <w:r w:rsidR="009556DA">
        <w:rPr>
          <w:rFonts w:cstheme="minorHAnsi"/>
          <w:lang w:val="en-SG"/>
        </w:rPr>
        <w:t xml:space="preserve"> </w:t>
      </w:r>
      <w:r w:rsidR="009556DA" w:rsidRPr="009556DA">
        <w:rPr>
          <w:rFonts w:cstheme="minorHAnsi"/>
          <w:lang w:val="en-SG"/>
        </w:rPr>
        <w:t>It discusses key risk allocation issues, and the structuring of the contract in a project financing context. You will be introduced to the</w:t>
      </w:r>
      <w:r w:rsidR="009556DA">
        <w:rPr>
          <w:rFonts w:cstheme="minorHAnsi"/>
          <w:lang w:val="en-SG"/>
        </w:rPr>
        <w:t xml:space="preserve"> </w:t>
      </w:r>
      <w:r w:rsidR="009556DA" w:rsidRPr="009556DA">
        <w:rPr>
          <w:rFonts w:cstheme="minorHAnsi"/>
          <w:lang w:val="en-SG"/>
        </w:rPr>
        <w:t>key terms and negotiation issues in EPC arrangements, the role and incorporation of technical details, and the</w:t>
      </w:r>
      <w:r w:rsidR="009556DA">
        <w:rPr>
          <w:rFonts w:cstheme="minorHAnsi"/>
          <w:lang w:val="en-SG"/>
        </w:rPr>
        <w:t xml:space="preserve"> i</w:t>
      </w:r>
      <w:r w:rsidR="009556DA" w:rsidRPr="009556DA">
        <w:rPr>
          <w:rFonts w:cstheme="minorHAnsi"/>
          <w:lang w:val="en-SG"/>
        </w:rPr>
        <w:t>mpact of project specifications</w:t>
      </w:r>
      <w:r w:rsidR="009556DA">
        <w:rPr>
          <w:rFonts w:cstheme="minorHAnsi"/>
          <w:lang w:val="en-SG"/>
        </w:rPr>
        <w:t xml:space="preserve"> </w:t>
      </w:r>
      <w:r w:rsidR="009556DA" w:rsidRPr="009556DA">
        <w:rPr>
          <w:rFonts w:cstheme="minorHAnsi"/>
          <w:lang w:val="en-SG"/>
        </w:rPr>
        <w:t>in EPC arrangements.</w:t>
      </w:r>
    </w:p>
    <w:p w14:paraId="3D912D50" w14:textId="77777777" w:rsidR="009556DA" w:rsidRDefault="009556DA" w:rsidP="009556DA">
      <w:pPr>
        <w:autoSpaceDE w:val="0"/>
        <w:autoSpaceDN w:val="0"/>
        <w:adjustRightInd w:val="0"/>
        <w:spacing w:after="0" w:line="240" w:lineRule="auto"/>
        <w:rPr>
          <w:rFonts w:cstheme="minorHAnsi"/>
          <w:lang w:val="en-SG"/>
        </w:rPr>
      </w:pPr>
    </w:p>
    <w:p w14:paraId="35D3B015" w14:textId="4D2FF858" w:rsidR="00247B2E" w:rsidRPr="009556DA" w:rsidRDefault="00536A35" w:rsidP="00165944">
      <w:pPr>
        <w:spacing w:after="0" w:line="240" w:lineRule="auto"/>
        <w:rPr>
          <w:rFonts w:cstheme="minorHAnsi"/>
          <w:b/>
        </w:rPr>
      </w:pPr>
      <w:r w:rsidRPr="00536A35">
        <w:rPr>
          <w:rFonts w:cstheme="minorHAnsi"/>
          <w:b/>
        </w:rPr>
        <w:t>Course Sessions</w:t>
      </w:r>
      <w:r>
        <w:rPr>
          <w:rFonts w:cstheme="minorHAnsi"/>
          <w:b/>
        </w:rPr>
        <w:br/>
      </w:r>
    </w:p>
    <w:p w14:paraId="42C23856" w14:textId="77777777" w:rsidR="009556DA" w:rsidRPr="009556DA" w:rsidRDefault="009556DA" w:rsidP="009556DA">
      <w:pPr>
        <w:spacing w:after="0" w:line="240" w:lineRule="auto"/>
        <w:rPr>
          <w:rFonts w:ascii="Calibri-Light" w:hAnsi="Calibri-Light" w:cs="Calibri-Light"/>
          <w:lang w:val="en-SG"/>
        </w:rPr>
      </w:pPr>
      <w:r w:rsidRPr="009556DA">
        <w:rPr>
          <w:rFonts w:ascii="Calibri-Light" w:hAnsi="Calibri-Light" w:cs="Calibri-Light"/>
          <w:lang w:val="en-SG"/>
        </w:rPr>
        <w:t>1. Legal framework</w:t>
      </w:r>
    </w:p>
    <w:p w14:paraId="2FF81695" w14:textId="77777777" w:rsidR="009556DA" w:rsidRPr="009556DA" w:rsidRDefault="009556DA" w:rsidP="009556DA">
      <w:pPr>
        <w:spacing w:after="0" w:line="240" w:lineRule="auto"/>
        <w:rPr>
          <w:rFonts w:ascii="Calibri-Light" w:hAnsi="Calibri-Light" w:cs="Calibri-Light"/>
          <w:lang w:val="en-SG"/>
        </w:rPr>
      </w:pPr>
      <w:r w:rsidRPr="009556DA">
        <w:rPr>
          <w:rFonts w:ascii="Calibri-Light" w:hAnsi="Calibri-Light" w:cs="Calibri-Light"/>
          <w:lang w:val="en-SG"/>
        </w:rPr>
        <w:t>2. Bankability issues and project structuring</w:t>
      </w:r>
    </w:p>
    <w:p w14:paraId="5B8715B6" w14:textId="77777777" w:rsidR="009556DA" w:rsidRPr="009556DA" w:rsidRDefault="009556DA" w:rsidP="009556DA">
      <w:pPr>
        <w:spacing w:after="0" w:line="240" w:lineRule="auto"/>
        <w:rPr>
          <w:rFonts w:ascii="Calibri-Light" w:hAnsi="Calibri-Light" w:cs="Calibri-Light"/>
          <w:lang w:val="en-SG"/>
        </w:rPr>
      </w:pPr>
      <w:r w:rsidRPr="009556DA">
        <w:rPr>
          <w:rFonts w:ascii="Calibri-Light" w:hAnsi="Calibri-Light" w:cs="Calibri-Light"/>
          <w:lang w:val="en-SG"/>
        </w:rPr>
        <w:t>3. Administering EPC contracts</w:t>
      </w:r>
    </w:p>
    <w:p w14:paraId="6858E12C" w14:textId="77777777" w:rsidR="009556DA" w:rsidRPr="009556DA" w:rsidRDefault="009556DA" w:rsidP="009556DA">
      <w:pPr>
        <w:spacing w:after="0" w:line="240" w:lineRule="auto"/>
        <w:rPr>
          <w:rFonts w:ascii="Calibri-Light" w:hAnsi="Calibri-Light" w:cs="Calibri-Light"/>
          <w:lang w:val="en-SG"/>
        </w:rPr>
      </w:pPr>
      <w:r w:rsidRPr="009556DA">
        <w:rPr>
          <w:rFonts w:ascii="Calibri-Light" w:hAnsi="Calibri-Light" w:cs="Calibri-Light"/>
          <w:lang w:val="en-SG"/>
        </w:rPr>
        <w:t xml:space="preserve">4. Claims and claims </w:t>
      </w:r>
      <w:proofErr w:type="gramStart"/>
      <w:r w:rsidRPr="009556DA">
        <w:rPr>
          <w:rFonts w:ascii="Calibri-Light" w:hAnsi="Calibri-Light" w:cs="Calibri-Light"/>
          <w:lang w:val="en-SG"/>
        </w:rPr>
        <w:t>resolution</w:t>
      </w:r>
      <w:proofErr w:type="gramEnd"/>
    </w:p>
    <w:p w14:paraId="476644D5" w14:textId="500FCEC7" w:rsidR="00536A35" w:rsidRPr="009556DA" w:rsidRDefault="009556DA" w:rsidP="009556DA">
      <w:pPr>
        <w:spacing w:after="0" w:line="240" w:lineRule="auto"/>
        <w:rPr>
          <w:rFonts w:ascii="Calibri-Light" w:hAnsi="Calibri-Light" w:cs="Calibri-Light"/>
          <w:lang w:val="en-SG"/>
        </w:rPr>
      </w:pPr>
      <w:r w:rsidRPr="009556DA">
        <w:rPr>
          <w:rFonts w:ascii="Calibri-Light" w:hAnsi="Calibri-Light" w:cs="Calibri-Light"/>
          <w:lang w:val="en-SG"/>
        </w:rPr>
        <w:t>5. Managing contractors and subcontractors</w:t>
      </w:r>
    </w:p>
    <w:p w14:paraId="097C92EB" w14:textId="77777777" w:rsidR="009556DA" w:rsidRPr="00536A35" w:rsidRDefault="009556DA" w:rsidP="009556DA">
      <w:pPr>
        <w:spacing w:after="0" w:line="240" w:lineRule="auto"/>
        <w:rPr>
          <w:rFonts w:cstheme="minorHAnsi"/>
          <w:b/>
        </w:rPr>
      </w:pPr>
    </w:p>
    <w:p w14:paraId="582D6A36" w14:textId="229C7752" w:rsidR="006B7F99" w:rsidRDefault="00536A35" w:rsidP="00165944">
      <w:pPr>
        <w:spacing w:after="0" w:line="240" w:lineRule="auto"/>
        <w:rPr>
          <w:rFonts w:cstheme="minorHAnsi"/>
          <w:b/>
        </w:rPr>
      </w:pPr>
      <w:r w:rsidRPr="00536A35">
        <w:rPr>
          <w:rFonts w:cstheme="minorHAnsi"/>
          <w:b/>
        </w:rPr>
        <w:t xml:space="preserve">Benefits of </w:t>
      </w:r>
      <w:proofErr w:type="gramStart"/>
      <w:r w:rsidRPr="00536A35">
        <w:rPr>
          <w:rFonts w:cstheme="minorHAnsi"/>
          <w:b/>
        </w:rPr>
        <w:t>Attending</w:t>
      </w:r>
      <w:proofErr w:type="gramEnd"/>
    </w:p>
    <w:p w14:paraId="679A594E" w14:textId="77777777" w:rsidR="00536A35" w:rsidRPr="00536A35" w:rsidRDefault="00536A35" w:rsidP="00165944">
      <w:pPr>
        <w:spacing w:after="0" w:line="240" w:lineRule="auto"/>
        <w:rPr>
          <w:rFonts w:cstheme="minorHAnsi"/>
          <w:b/>
        </w:rPr>
      </w:pPr>
    </w:p>
    <w:p w14:paraId="28036CF4" w14:textId="5CC5D7B9" w:rsidR="009556DA" w:rsidRPr="009556DA" w:rsidRDefault="009556DA" w:rsidP="009556DA">
      <w:pPr>
        <w:pStyle w:val="ListParagraph"/>
        <w:numPr>
          <w:ilvl w:val="0"/>
          <w:numId w:val="18"/>
        </w:numPr>
        <w:autoSpaceDE w:val="0"/>
        <w:autoSpaceDN w:val="0"/>
        <w:adjustRightInd w:val="0"/>
        <w:spacing w:after="0" w:line="240" w:lineRule="auto"/>
        <w:rPr>
          <w:rFonts w:ascii="Calibri-Light" w:hAnsi="Calibri-Light" w:cs="Calibri-Light"/>
          <w:color w:val="141414"/>
          <w:lang w:val="en-SG"/>
        </w:rPr>
      </w:pPr>
      <w:r w:rsidRPr="009556DA">
        <w:rPr>
          <w:rFonts w:ascii="Calibri-Light" w:hAnsi="Calibri-Light" w:cs="Calibri-Light"/>
          <w:color w:val="141414"/>
          <w:lang w:val="en-SG"/>
        </w:rPr>
        <w:t xml:space="preserve">Best practices in negotiating EPC </w:t>
      </w:r>
      <w:proofErr w:type="gramStart"/>
      <w:r w:rsidRPr="009556DA">
        <w:rPr>
          <w:rFonts w:ascii="Calibri-Light" w:hAnsi="Calibri-Light" w:cs="Calibri-Light"/>
          <w:color w:val="141414"/>
          <w:lang w:val="en-SG"/>
        </w:rPr>
        <w:t>contracts</w:t>
      </w:r>
      <w:proofErr w:type="gramEnd"/>
    </w:p>
    <w:p w14:paraId="542F9167" w14:textId="27D19BC1" w:rsidR="009556DA" w:rsidRPr="009556DA" w:rsidRDefault="009556DA" w:rsidP="009556DA">
      <w:pPr>
        <w:pStyle w:val="ListParagraph"/>
        <w:numPr>
          <w:ilvl w:val="0"/>
          <w:numId w:val="18"/>
        </w:numPr>
        <w:autoSpaceDE w:val="0"/>
        <w:autoSpaceDN w:val="0"/>
        <w:adjustRightInd w:val="0"/>
        <w:spacing w:after="0" w:line="240" w:lineRule="auto"/>
        <w:rPr>
          <w:rFonts w:ascii="Calibri-Light" w:hAnsi="Calibri-Light" w:cs="Calibri-Light"/>
          <w:color w:val="141414"/>
          <w:lang w:val="en-SG"/>
        </w:rPr>
      </w:pPr>
      <w:r w:rsidRPr="009556DA">
        <w:rPr>
          <w:rFonts w:ascii="Calibri-Light" w:hAnsi="Calibri-Light" w:cs="Calibri-Light"/>
          <w:color w:val="141414"/>
          <w:lang w:val="en-SG"/>
        </w:rPr>
        <w:t xml:space="preserve">Understand the procurement options for projects and the associated risks and </w:t>
      </w:r>
      <w:proofErr w:type="gramStart"/>
      <w:r w:rsidRPr="009556DA">
        <w:rPr>
          <w:rFonts w:ascii="Calibri-Light" w:hAnsi="Calibri-Light" w:cs="Calibri-Light"/>
          <w:color w:val="141414"/>
          <w:lang w:val="en-SG"/>
        </w:rPr>
        <w:t>opportunities</w:t>
      </w:r>
      <w:proofErr w:type="gramEnd"/>
    </w:p>
    <w:p w14:paraId="0E2BAD0E" w14:textId="44A2E4B2" w:rsidR="009556DA" w:rsidRPr="009556DA" w:rsidRDefault="009556DA" w:rsidP="009556DA">
      <w:pPr>
        <w:pStyle w:val="ListParagraph"/>
        <w:numPr>
          <w:ilvl w:val="0"/>
          <w:numId w:val="18"/>
        </w:numPr>
        <w:autoSpaceDE w:val="0"/>
        <w:autoSpaceDN w:val="0"/>
        <w:adjustRightInd w:val="0"/>
        <w:spacing w:after="0" w:line="240" w:lineRule="auto"/>
        <w:rPr>
          <w:rFonts w:ascii="Calibri-Light" w:hAnsi="Calibri-Light" w:cs="Calibri-Light"/>
          <w:color w:val="141414"/>
          <w:lang w:val="en-SG"/>
        </w:rPr>
      </w:pPr>
      <w:r w:rsidRPr="009556DA">
        <w:rPr>
          <w:rFonts w:ascii="Calibri-Light" w:hAnsi="Calibri-Light" w:cs="Calibri-Light"/>
          <w:color w:val="141414"/>
          <w:lang w:val="en-SG"/>
        </w:rPr>
        <w:t xml:space="preserve">Consider alternative pricing, incentivisation and risk allocation </w:t>
      </w:r>
      <w:proofErr w:type="gramStart"/>
      <w:r w:rsidRPr="009556DA">
        <w:rPr>
          <w:rFonts w:ascii="Calibri-Light" w:hAnsi="Calibri-Light" w:cs="Calibri-Light"/>
          <w:color w:val="141414"/>
          <w:lang w:val="en-SG"/>
        </w:rPr>
        <w:t>approaches</w:t>
      </w:r>
      <w:proofErr w:type="gramEnd"/>
    </w:p>
    <w:p w14:paraId="58982812" w14:textId="77777777" w:rsidR="009556DA" w:rsidRDefault="009556DA" w:rsidP="00324691">
      <w:pPr>
        <w:pStyle w:val="ListParagraph"/>
        <w:numPr>
          <w:ilvl w:val="0"/>
          <w:numId w:val="18"/>
        </w:numPr>
        <w:autoSpaceDE w:val="0"/>
        <w:autoSpaceDN w:val="0"/>
        <w:adjustRightInd w:val="0"/>
        <w:spacing w:after="0" w:line="240" w:lineRule="auto"/>
        <w:rPr>
          <w:rFonts w:ascii="Calibri-Light" w:hAnsi="Calibri-Light" w:cs="Calibri-Light"/>
          <w:color w:val="141414"/>
          <w:lang w:val="en-SG"/>
        </w:rPr>
      </w:pPr>
      <w:r w:rsidRPr="009556DA">
        <w:rPr>
          <w:rFonts w:ascii="Calibri-Light" w:hAnsi="Calibri-Light" w:cs="Calibri-Light"/>
          <w:color w:val="141414"/>
          <w:lang w:val="en-SG"/>
        </w:rPr>
        <w:t xml:space="preserve">Develop an understanding of the current EPC market and the legal risks associated with such forms of </w:t>
      </w:r>
      <w:proofErr w:type="gramStart"/>
      <w:r w:rsidRPr="009556DA">
        <w:rPr>
          <w:rFonts w:ascii="Calibri-Light" w:hAnsi="Calibri-Light" w:cs="Calibri-Light"/>
          <w:color w:val="141414"/>
          <w:lang w:val="en-SG"/>
        </w:rPr>
        <w:t>contracting</w:t>
      </w:r>
      <w:proofErr w:type="gramEnd"/>
    </w:p>
    <w:p w14:paraId="1F35982D" w14:textId="77777777" w:rsidR="009556DA" w:rsidRDefault="009556DA" w:rsidP="004D1D14">
      <w:pPr>
        <w:pStyle w:val="ListParagraph"/>
        <w:numPr>
          <w:ilvl w:val="0"/>
          <w:numId w:val="18"/>
        </w:numPr>
        <w:autoSpaceDE w:val="0"/>
        <w:autoSpaceDN w:val="0"/>
        <w:adjustRightInd w:val="0"/>
        <w:spacing w:after="0" w:line="240" w:lineRule="auto"/>
        <w:rPr>
          <w:rFonts w:ascii="Calibri-Light" w:hAnsi="Calibri-Light" w:cs="Calibri-Light"/>
          <w:color w:val="141414"/>
          <w:lang w:val="en-SG"/>
        </w:rPr>
      </w:pPr>
      <w:r w:rsidRPr="009556DA">
        <w:rPr>
          <w:rFonts w:ascii="Calibri-Light" w:hAnsi="Calibri-Light" w:cs="Calibri-Light"/>
          <w:color w:val="141414"/>
          <w:lang w:val="en-SG"/>
        </w:rPr>
        <w:t xml:space="preserve">Learn what the major areas of dispute may be in construction projects and how to manage </w:t>
      </w:r>
      <w:proofErr w:type="gramStart"/>
      <w:r w:rsidRPr="009556DA">
        <w:rPr>
          <w:rFonts w:ascii="Calibri-Light" w:hAnsi="Calibri-Light" w:cs="Calibri-Light"/>
          <w:color w:val="141414"/>
          <w:lang w:val="en-SG"/>
        </w:rPr>
        <w:t>them</w:t>
      </w:r>
      <w:proofErr w:type="gramEnd"/>
    </w:p>
    <w:p w14:paraId="57A9DAFD" w14:textId="74004121" w:rsidR="00536A35" w:rsidRPr="009556DA" w:rsidRDefault="009556DA" w:rsidP="0051290E">
      <w:pPr>
        <w:pStyle w:val="ListParagraph"/>
        <w:numPr>
          <w:ilvl w:val="0"/>
          <w:numId w:val="18"/>
        </w:numPr>
        <w:autoSpaceDE w:val="0"/>
        <w:autoSpaceDN w:val="0"/>
        <w:adjustRightInd w:val="0"/>
        <w:spacing w:after="0" w:line="240" w:lineRule="auto"/>
        <w:rPr>
          <w:rFonts w:ascii="Calibri-Light" w:hAnsi="Calibri-Light" w:cs="Calibri-Light"/>
          <w:color w:val="141414"/>
          <w:lang w:val="en-SG"/>
        </w:rPr>
      </w:pPr>
      <w:r w:rsidRPr="009556DA">
        <w:rPr>
          <w:rFonts w:ascii="Calibri-Light" w:hAnsi="Calibri-Light" w:cs="Calibri-Light"/>
          <w:color w:val="141414"/>
          <w:lang w:val="en-SG"/>
        </w:rPr>
        <w:t>Understand the key specificities of construction projects in your</w:t>
      </w:r>
      <w:r>
        <w:rPr>
          <w:rFonts w:ascii="Calibri-Light" w:hAnsi="Calibri-Light" w:cs="Calibri-Light"/>
          <w:color w:val="141414"/>
          <w:lang w:val="en-SG"/>
        </w:rPr>
        <w:t xml:space="preserve"> </w:t>
      </w:r>
      <w:r w:rsidRPr="009556DA">
        <w:rPr>
          <w:rFonts w:ascii="Calibri-Light" w:hAnsi="Calibri-Light" w:cs="Calibri-Light"/>
          <w:color w:val="141414"/>
          <w:lang w:val="en-SG"/>
        </w:rPr>
        <w:t xml:space="preserve">region of the </w:t>
      </w:r>
      <w:proofErr w:type="gramStart"/>
      <w:r w:rsidRPr="009556DA">
        <w:rPr>
          <w:rFonts w:ascii="Calibri-Light" w:hAnsi="Calibri-Light" w:cs="Calibri-Light"/>
          <w:color w:val="141414"/>
          <w:lang w:val="en-SG"/>
        </w:rPr>
        <w:t>world</w:t>
      </w:r>
      <w:proofErr w:type="gramEnd"/>
    </w:p>
    <w:p w14:paraId="6AB27F4C" w14:textId="77777777" w:rsidR="009556DA" w:rsidRPr="009556DA" w:rsidRDefault="009556DA" w:rsidP="009556DA">
      <w:pPr>
        <w:spacing w:after="0" w:line="240" w:lineRule="auto"/>
        <w:rPr>
          <w:rFonts w:cstheme="minorHAnsi"/>
          <w:b/>
        </w:rPr>
      </w:pPr>
    </w:p>
    <w:p w14:paraId="04DF9066" w14:textId="2D2C2831" w:rsidR="00165944" w:rsidRPr="00536A35" w:rsidRDefault="00165944" w:rsidP="00165944">
      <w:pPr>
        <w:spacing w:after="100" w:line="240" w:lineRule="auto"/>
        <w:rPr>
          <w:rFonts w:cstheme="minorHAnsi"/>
          <w:b/>
          <w:color w:val="282526"/>
          <w:lang w:val="en-SG"/>
        </w:rPr>
      </w:pPr>
      <w:r w:rsidRPr="00536A35">
        <w:rPr>
          <w:rFonts w:cstheme="minorHAnsi"/>
          <w:b/>
          <w:color w:val="282526"/>
          <w:lang w:val="en-SG"/>
        </w:rPr>
        <w:t>Testimonials</w:t>
      </w:r>
      <w:r w:rsidR="009556DA">
        <w:rPr>
          <w:rFonts w:cstheme="minorHAnsi"/>
          <w:b/>
          <w:color w:val="282526"/>
          <w:lang w:val="en-SG"/>
        </w:rPr>
        <w:br/>
      </w:r>
    </w:p>
    <w:p w14:paraId="51738306" w14:textId="56FDBC64" w:rsidR="009556DA" w:rsidRPr="009556DA" w:rsidRDefault="009556DA" w:rsidP="009556DA">
      <w:pPr>
        <w:spacing w:after="0" w:line="240" w:lineRule="auto"/>
        <w:rPr>
          <w:rFonts w:cstheme="minorHAnsi"/>
          <w:color w:val="282526"/>
          <w:lang w:val="en-SG"/>
        </w:rPr>
      </w:pPr>
      <w:r w:rsidRPr="009556DA">
        <w:rPr>
          <w:rFonts w:cstheme="minorHAnsi"/>
          <w:color w:val="282526"/>
          <w:lang w:val="en-SG"/>
        </w:rPr>
        <w:t xml:space="preserve">“A very thorough presentation with excellent </w:t>
      </w:r>
      <w:proofErr w:type="gramStart"/>
      <w:r w:rsidRPr="009556DA">
        <w:rPr>
          <w:rFonts w:cstheme="minorHAnsi"/>
          <w:color w:val="282526"/>
          <w:lang w:val="en-SG"/>
        </w:rPr>
        <w:t>real life</w:t>
      </w:r>
      <w:proofErr w:type="gramEnd"/>
      <w:r w:rsidRPr="009556DA">
        <w:rPr>
          <w:rFonts w:cstheme="minorHAnsi"/>
          <w:color w:val="282526"/>
          <w:lang w:val="en-SG"/>
        </w:rPr>
        <w:t xml:space="preserve"> examples and war</w:t>
      </w:r>
      <w:r>
        <w:rPr>
          <w:rFonts w:cstheme="minorHAnsi"/>
          <w:color w:val="282526"/>
          <w:lang w:val="en-SG"/>
        </w:rPr>
        <w:t xml:space="preserve"> </w:t>
      </w:r>
      <w:r w:rsidRPr="009556DA">
        <w:rPr>
          <w:rFonts w:cstheme="minorHAnsi"/>
          <w:color w:val="282526"/>
          <w:lang w:val="en-SG"/>
        </w:rPr>
        <w:t>stories from the trainer.”</w:t>
      </w:r>
    </w:p>
    <w:p w14:paraId="57765119" w14:textId="5F312F81" w:rsidR="009556DA" w:rsidRDefault="009556DA" w:rsidP="009556DA">
      <w:pPr>
        <w:spacing w:after="0" w:line="240" w:lineRule="auto"/>
        <w:rPr>
          <w:rFonts w:cstheme="minorHAnsi"/>
          <w:color w:val="282526"/>
          <w:lang w:val="en-SG"/>
        </w:rPr>
      </w:pPr>
      <w:r w:rsidRPr="009556DA">
        <w:rPr>
          <w:rFonts w:cstheme="minorHAnsi"/>
          <w:color w:val="282526"/>
          <w:lang w:val="en-SG"/>
        </w:rPr>
        <w:t xml:space="preserve">- </w:t>
      </w:r>
      <w:proofErr w:type="spellStart"/>
      <w:r w:rsidRPr="009556DA">
        <w:rPr>
          <w:rFonts w:cstheme="minorHAnsi"/>
          <w:color w:val="282526"/>
          <w:lang w:val="en-SG"/>
        </w:rPr>
        <w:t>Exxonmobil</w:t>
      </w:r>
      <w:proofErr w:type="spellEnd"/>
    </w:p>
    <w:p w14:paraId="7CF84645" w14:textId="77777777" w:rsidR="009556DA" w:rsidRPr="009556DA" w:rsidRDefault="009556DA" w:rsidP="009556DA">
      <w:pPr>
        <w:spacing w:after="0" w:line="240" w:lineRule="auto"/>
        <w:rPr>
          <w:rFonts w:cstheme="minorHAnsi"/>
          <w:color w:val="282526"/>
          <w:lang w:val="en-SG"/>
        </w:rPr>
      </w:pPr>
    </w:p>
    <w:p w14:paraId="5DFDE370" w14:textId="0D55429C" w:rsidR="009556DA" w:rsidRPr="009556DA" w:rsidRDefault="009556DA" w:rsidP="009556DA">
      <w:pPr>
        <w:spacing w:after="0" w:line="240" w:lineRule="auto"/>
        <w:rPr>
          <w:rFonts w:cstheme="minorHAnsi"/>
          <w:color w:val="282526"/>
          <w:lang w:val="en-SG"/>
        </w:rPr>
      </w:pPr>
      <w:r w:rsidRPr="009556DA">
        <w:rPr>
          <w:rFonts w:cstheme="minorHAnsi"/>
          <w:color w:val="282526"/>
          <w:lang w:val="en-SG"/>
        </w:rPr>
        <w:t>“A must-attend for professionals wishing to improve in EPC contracts</w:t>
      </w:r>
      <w:r>
        <w:rPr>
          <w:rFonts w:cstheme="minorHAnsi"/>
          <w:color w:val="282526"/>
          <w:lang w:val="en-SG"/>
        </w:rPr>
        <w:t xml:space="preserve"> </w:t>
      </w:r>
      <w:r w:rsidRPr="009556DA">
        <w:rPr>
          <w:rFonts w:cstheme="minorHAnsi"/>
          <w:color w:val="282526"/>
          <w:lang w:val="en-SG"/>
        </w:rPr>
        <w:t>management.”</w:t>
      </w:r>
    </w:p>
    <w:p w14:paraId="700B16D4" w14:textId="1AE9205C" w:rsidR="009556DA" w:rsidRDefault="009556DA" w:rsidP="009556DA">
      <w:pPr>
        <w:spacing w:after="0" w:line="240" w:lineRule="auto"/>
        <w:rPr>
          <w:rFonts w:cstheme="minorHAnsi"/>
          <w:color w:val="282526"/>
          <w:lang w:val="en-SG"/>
        </w:rPr>
      </w:pPr>
      <w:r w:rsidRPr="009556DA">
        <w:rPr>
          <w:rFonts w:cstheme="minorHAnsi"/>
          <w:color w:val="282526"/>
          <w:lang w:val="en-SG"/>
        </w:rPr>
        <w:t>- Century Power Generation</w:t>
      </w:r>
    </w:p>
    <w:p w14:paraId="7C8B1A0C" w14:textId="77777777" w:rsidR="009556DA" w:rsidRPr="009556DA" w:rsidRDefault="009556DA" w:rsidP="009556DA">
      <w:pPr>
        <w:spacing w:after="0" w:line="240" w:lineRule="auto"/>
        <w:rPr>
          <w:rFonts w:cstheme="minorHAnsi"/>
          <w:color w:val="282526"/>
          <w:lang w:val="en-SG"/>
        </w:rPr>
      </w:pPr>
    </w:p>
    <w:p w14:paraId="2D365EF5" w14:textId="028A539E" w:rsidR="009556DA" w:rsidRPr="009556DA" w:rsidRDefault="009556DA" w:rsidP="009556DA">
      <w:pPr>
        <w:spacing w:after="0" w:line="240" w:lineRule="auto"/>
        <w:rPr>
          <w:rFonts w:cstheme="minorHAnsi"/>
          <w:color w:val="282526"/>
          <w:lang w:val="en-SG"/>
        </w:rPr>
      </w:pPr>
      <w:r w:rsidRPr="009556DA">
        <w:rPr>
          <w:rFonts w:cstheme="minorHAnsi"/>
          <w:color w:val="282526"/>
          <w:lang w:val="en-SG"/>
        </w:rPr>
        <w:t>“Interesting, extremely helpful and relevant. A very clear presentation style</w:t>
      </w:r>
      <w:r>
        <w:rPr>
          <w:rFonts w:cstheme="minorHAnsi"/>
          <w:color w:val="282526"/>
          <w:lang w:val="en-SG"/>
        </w:rPr>
        <w:t xml:space="preserve"> </w:t>
      </w:r>
      <w:r w:rsidRPr="009556DA">
        <w:rPr>
          <w:rFonts w:cstheme="minorHAnsi"/>
          <w:color w:val="282526"/>
          <w:lang w:val="en-SG"/>
        </w:rPr>
        <w:t>which kept the material interesting and the audience engaged.”</w:t>
      </w:r>
    </w:p>
    <w:p w14:paraId="19E5ABC2" w14:textId="0FB69477" w:rsidR="009556DA" w:rsidRDefault="009556DA" w:rsidP="009556DA">
      <w:pPr>
        <w:spacing w:after="0" w:line="240" w:lineRule="auto"/>
        <w:rPr>
          <w:rFonts w:cstheme="minorHAnsi"/>
          <w:color w:val="282526"/>
          <w:lang w:val="en-SG"/>
        </w:rPr>
      </w:pPr>
      <w:r w:rsidRPr="009556DA">
        <w:rPr>
          <w:rFonts w:cstheme="minorHAnsi"/>
          <w:color w:val="282526"/>
          <w:lang w:val="en-SG"/>
        </w:rPr>
        <w:t>- National Oil Company of Namibia</w:t>
      </w:r>
    </w:p>
    <w:p w14:paraId="6A6A5852" w14:textId="77777777" w:rsidR="009556DA" w:rsidRPr="009556DA" w:rsidRDefault="009556DA" w:rsidP="009556DA">
      <w:pPr>
        <w:spacing w:after="0" w:line="240" w:lineRule="auto"/>
        <w:rPr>
          <w:rFonts w:cstheme="minorHAnsi"/>
          <w:color w:val="282526"/>
          <w:lang w:val="en-SG"/>
        </w:rPr>
      </w:pPr>
    </w:p>
    <w:p w14:paraId="3A6C2FCF" w14:textId="270055EA" w:rsidR="009556DA" w:rsidRPr="009556DA" w:rsidRDefault="009556DA" w:rsidP="009556DA">
      <w:pPr>
        <w:spacing w:after="0" w:line="240" w:lineRule="auto"/>
        <w:rPr>
          <w:rFonts w:cstheme="minorHAnsi"/>
          <w:color w:val="282526"/>
          <w:lang w:val="en-SG"/>
        </w:rPr>
      </w:pPr>
      <w:r w:rsidRPr="009556DA">
        <w:rPr>
          <w:rFonts w:cstheme="minorHAnsi"/>
          <w:color w:val="282526"/>
          <w:lang w:val="en-SG"/>
        </w:rPr>
        <w:t xml:space="preserve">“The seminar </w:t>
      </w:r>
      <w:proofErr w:type="gramStart"/>
      <w:r w:rsidRPr="009556DA">
        <w:rPr>
          <w:rFonts w:cstheme="minorHAnsi"/>
          <w:color w:val="282526"/>
          <w:lang w:val="en-SG"/>
        </w:rPr>
        <w:t>were</w:t>
      </w:r>
      <w:proofErr w:type="gramEnd"/>
      <w:r w:rsidRPr="009556DA">
        <w:rPr>
          <w:rFonts w:cstheme="minorHAnsi"/>
          <w:color w:val="282526"/>
          <w:lang w:val="en-SG"/>
        </w:rPr>
        <w:t xml:space="preserve"> highly informative and the trainer is clearly very experienced</w:t>
      </w:r>
      <w:r>
        <w:rPr>
          <w:rFonts w:cstheme="minorHAnsi"/>
          <w:color w:val="282526"/>
          <w:lang w:val="en-SG"/>
        </w:rPr>
        <w:t xml:space="preserve"> </w:t>
      </w:r>
      <w:r w:rsidRPr="009556DA">
        <w:rPr>
          <w:rFonts w:cstheme="minorHAnsi"/>
          <w:color w:val="282526"/>
          <w:lang w:val="en-SG"/>
        </w:rPr>
        <w:t>in the EPC and major projects worldwide. It was very relevant for us</w:t>
      </w:r>
      <w:r>
        <w:rPr>
          <w:rFonts w:cstheme="minorHAnsi"/>
          <w:color w:val="282526"/>
          <w:lang w:val="en-SG"/>
        </w:rPr>
        <w:t xml:space="preserve"> </w:t>
      </w:r>
      <w:r w:rsidRPr="009556DA">
        <w:rPr>
          <w:rFonts w:cstheme="minorHAnsi"/>
          <w:color w:val="282526"/>
          <w:lang w:val="en-SG"/>
        </w:rPr>
        <w:t>in our business.”</w:t>
      </w:r>
    </w:p>
    <w:p w14:paraId="6372FA6E" w14:textId="52ECAD5A" w:rsidR="009556DA" w:rsidRDefault="009556DA" w:rsidP="009556DA">
      <w:pPr>
        <w:spacing w:after="0" w:line="240" w:lineRule="auto"/>
        <w:rPr>
          <w:rFonts w:cstheme="minorHAnsi"/>
          <w:color w:val="282526"/>
          <w:lang w:val="en-SG"/>
        </w:rPr>
      </w:pPr>
      <w:r w:rsidRPr="009556DA">
        <w:rPr>
          <w:rFonts w:cstheme="minorHAnsi"/>
          <w:color w:val="282526"/>
          <w:lang w:val="en-SG"/>
        </w:rPr>
        <w:t>- Qatar Petroleum</w:t>
      </w:r>
    </w:p>
    <w:p w14:paraId="5CC32A23" w14:textId="77777777" w:rsidR="009556DA" w:rsidRPr="009556DA" w:rsidRDefault="009556DA" w:rsidP="009556DA">
      <w:pPr>
        <w:spacing w:after="0" w:line="240" w:lineRule="auto"/>
        <w:rPr>
          <w:rFonts w:cstheme="minorHAnsi"/>
          <w:color w:val="282526"/>
          <w:lang w:val="en-SG"/>
        </w:rPr>
      </w:pPr>
    </w:p>
    <w:p w14:paraId="4E0A4C7B" w14:textId="65963C4F" w:rsidR="009556DA" w:rsidRPr="009556DA" w:rsidRDefault="009556DA" w:rsidP="009556DA">
      <w:pPr>
        <w:spacing w:after="0" w:line="240" w:lineRule="auto"/>
        <w:rPr>
          <w:rFonts w:cstheme="minorHAnsi"/>
          <w:color w:val="282526"/>
          <w:lang w:val="en-SG"/>
        </w:rPr>
      </w:pPr>
      <w:r w:rsidRPr="009556DA">
        <w:rPr>
          <w:rFonts w:cstheme="minorHAnsi"/>
          <w:color w:val="282526"/>
          <w:lang w:val="en-SG"/>
        </w:rPr>
        <w:lastRenderedPageBreak/>
        <w:t>“The trainer spoke knowledgeably about matters that concern lenders,</w:t>
      </w:r>
      <w:r>
        <w:rPr>
          <w:rFonts w:cstheme="minorHAnsi"/>
          <w:color w:val="282526"/>
          <w:lang w:val="en-SG"/>
        </w:rPr>
        <w:t xml:space="preserve"> </w:t>
      </w:r>
      <w:r w:rsidRPr="009556DA">
        <w:rPr>
          <w:rFonts w:cstheme="minorHAnsi"/>
          <w:color w:val="282526"/>
          <w:lang w:val="en-SG"/>
        </w:rPr>
        <w:t>sponsors and borrowers bringing different perspectives to the discussion.”</w:t>
      </w:r>
    </w:p>
    <w:p w14:paraId="67944B7E" w14:textId="4F94A2AD" w:rsidR="00510098" w:rsidRDefault="009556DA" w:rsidP="009556DA">
      <w:pPr>
        <w:spacing w:after="0" w:line="240" w:lineRule="auto"/>
        <w:rPr>
          <w:rFonts w:cstheme="minorHAnsi"/>
          <w:color w:val="282526"/>
          <w:lang w:val="en-SG"/>
        </w:rPr>
      </w:pPr>
      <w:r w:rsidRPr="009556DA">
        <w:rPr>
          <w:rFonts w:cstheme="minorHAnsi"/>
          <w:color w:val="282526"/>
          <w:lang w:val="en-SG"/>
        </w:rPr>
        <w:t>- KBC Bank NV</w:t>
      </w:r>
    </w:p>
    <w:p w14:paraId="1431A9FB" w14:textId="77777777" w:rsidR="009556DA" w:rsidRPr="00510098" w:rsidRDefault="009556DA" w:rsidP="009556DA">
      <w:pPr>
        <w:spacing w:after="0" w:line="240" w:lineRule="auto"/>
        <w:rPr>
          <w:rFonts w:cstheme="minorHAnsi"/>
          <w:lang w:val="en-SG"/>
        </w:rPr>
      </w:pPr>
    </w:p>
    <w:p w14:paraId="3C1E07F3" w14:textId="17C160CE" w:rsidR="00510098" w:rsidRPr="00510098" w:rsidRDefault="00510098" w:rsidP="00165944">
      <w:pPr>
        <w:autoSpaceDE w:val="0"/>
        <w:autoSpaceDN w:val="0"/>
        <w:adjustRightInd w:val="0"/>
        <w:spacing w:after="0" w:line="240" w:lineRule="auto"/>
        <w:rPr>
          <w:rFonts w:cstheme="minorHAnsi"/>
          <w:b/>
        </w:rPr>
      </w:pPr>
      <w:r w:rsidRPr="00510098">
        <w:rPr>
          <w:rFonts w:cstheme="minorHAnsi"/>
          <w:b/>
        </w:rPr>
        <w:t>Live Online Course - How It Works</w:t>
      </w:r>
    </w:p>
    <w:p w14:paraId="70AB789A" w14:textId="77777777" w:rsidR="00510098" w:rsidRPr="00510098" w:rsidRDefault="00510098" w:rsidP="00165944">
      <w:pPr>
        <w:autoSpaceDE w:val="0"/>
        <w:autoSpaceDN w:val="0"/>
        <w:adjustRightInd w:val="0"/>
        <w:spacing w:after="0" w:line="240" w:lineRule="auto"/>
        <w:rPr>
          <w:rFonts w:cstheme="minorHAnsi"/>
          <w:b/>
        </w:rPr>
      </w:pPr>
    </w:p>
    <w:p w14:paraId="716779A4" w14:textId="651C9C64" w:rsidR="00510098" w:rsidRPr="00510098" w:rsidRDefault="00510098" w:rsidP="00510098">
      <w:pPr>
        <w:rPr>
          <w:lang w:val="en-SG" w:eastAsia="en-US"/>
        </w:rPr>
      </w:pPr>
      <w:r w:rsidRPr="00510098">
        <w:rPr>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510098" w:rsidRDefault="00510098" w:rsidP="00510098">
      <w:pPr>
        <w:rPr>
          <w:lang w:eastAsia="en-US"/>
        </w:rPr>
      </w:pPr>
      <w:r w:rsidRPr="00510098">
        <w:rPr>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11D8F182" w:rsidR="00EC01FD" w:rsidRPr="00510098" w:rsidRDefault="00510098" w:rsidP="00510098">
      <w:pPr>
        <w:rPr>
          <w:lang w:eastAsia="en-SG"/>
        </w:rPr>
      </w:pPr>
      <w:r w:rsidRPr="00510098">
        <w:rPr>
          <w:lang w:eastAsia="en-US"/>
        </w:rPr>
        <w:t xml:space="preserve">This course is scheduled to take place over </w:t>
      </w:r>
      <w:r w:rsidR="009556DA">
        <w:rPr>
          <w:lang w:eastAsia="en-US"/>
        </w:rPr>
        <w:t>5</w:t>
      </w:r>
      <w:r w:rsidRPr="00510098">
        <w:rPr>
          <w:lang w:eastAsia="en-US"/>
        </w:rPr>
        <w:t xml:space="preserve"> live online sessions using virtual learning technology.</w:t>
      </w:r>
    </w:p>
    <w:p w14:paraId="64286BF1" w14:textId="77777777" w:rsidR="006B7F99" w:rsidRPr="00536A35" w:rsidRDefault="006B7F99" w:rsidP="00165944">
      <w:pPr>
        <w:spacing w:line="240" w:lineRule="auto"/>
        <w:rPr>
          <w:rFonts w:cstheme="minorHAnsi"/>
          <w:b/>
        </w:rPr>
      </w:pPr>
      <w:r w:rsidRPr="00536A35">
        <w:rPr>
          <w:rFonts w:cstheme="minorHAnsi"/>
          <w:b/>
        </w:rPr>
        <w:t>To register/enquire, please contact:</w:t>
      </w:r>
    </w:p>
    <w:p w14:paraId="6BD5B5B5" w14:textId="77777777" w:rsidR="00FB232F" w:rsidRPr="00164FEC" w:rsidRDefault="00FB232F" w:rsidP="00FB232F">
      <w:pPr>
        <w:pStyle w:val="NoSpacing"/>
        <w:rPr>
          <w:rFonts w:cstheme="minorHAnsi"/>
          <w:b/>
        </w:rPr>
      </w:pPr>
      <w:r>
        <w:rPr>
          <w:rFonts w:cstheme="minorHAnsi"/>
          <w:b/>
        </w:rPr>
        <w:t>Abigail Harris</w:t>
      </w:r>
    </w:p>
    <w:p w14:paraId="00A8CC0E" w14:textId="77777777" w:rsidR="00FB232F" w:rsidRPr="00164FEC" w:rsidRDefault="00FB232F" w:rsidP="00FB232F">
      <w:pPr>
        <w:pStyle w:val="NoSpacing"/>
        <w:rPr>
          <w:rFonts w:cstheme="minorHAnsi"/>
          <w:b/>
        </w:rPr>
      </w:pPr>
      <w:proofErr w:type="spellStart"/>
      <w:r w:rsidRPr="00164FEC">
        <w:rPr>
          <w:rFonts w:cstheme="minorHAnsi"/>
          <w:b/>
        </w:rPr>
        <w:t>Infocus</w:t>
      </w:r>
      <w:proofErr w:type="spellEnd"/>
      <w:r w:rsidRPr="00164FEC">
        <w:rPr>
          <w:rFonts w:cstheme="minorHAnsi"/>
          <w:b/>
        </w:rPr>
        <w:t xml:space="preserve"> International Group</w:t>
      </w:r>
    </w:p>
    <w:p w14:paraId="66A8ECC1" w14:textId="77777777" w:rsidR="00FB232F" w:rsidRPr="00164FEC" w:rsidRDefault="00FB232F" w:rsidP="00FB232F">
      <w:pPr>
        <w:pStyle w:val="NoSpacing"/>
        <w:rPr>
          <w:rFonts w:cstheme="minorHAnsi"/>
          <w:b/>
        </w:rPr>
      </w:pPr>
      <w:r w:rsidRPr="00164FEC">
        <w:rPr>
          <w:rFonts w:cstheme="minorHAnsi"/>
          <w:b/>
        </w:rPr>
        <w:t>Tel: +65 6325 02</w:t>
      </w:r>
      <w:r>
        <w:rPr>
          <w:rFonts w:cstheme="minorHAnsi"/>
          <w:b/>
        </w:rPr>
        <w:t>15</w:t>
      </w:r>
      <w:r w:rsidRPr="00164FEC">
        <w:rPr>
          <w:rFonts w:cstheme="minorHAnsi"/>
          <w:b/>
        </w:rPr>
        <w:t xml:space="preserve"> | Email: </w:t>
      </w:r>
      <w:hyperlink r:id="rId6" w:history="1">
        <w:r w:rsidRPr="007F2BBE">
          <w:rPr>
            <w:rStyle w:val="Hyperlink"/>
            <w:rFonts w:cstheme="minorHAnsi"/>
            <w:b/>
          </w:rPr>
          <w:t>abigail@infocusinternational.com</w:t>
        </w:r>
      </w:hyperlink>
    </w:p>
    <w:p w14:paraId="7CC2AAEA" w14:textId="3C0BD956" w:rsidR="007601A9" w:rsidRPr="00510098" w:rsidRDefault="007601A9" w:rsidP="00F65680">
      <w:pPr>
        <w:pStyle w:val="NoSpacing"/>
        <w:rPr>
          <w:rFonts w:cstheme="minorHAnsi"/>
          <w:b/>
        </w:rPr>
      </w:pPr>
    </w:p>
    <w:sectPr w:rsidR="007601A9" w:rsidRPr="00510098" w:rsidSect="00760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2" w15:restartNumberingAfterBreak="0">
    <w:nsid w:val="19DA73D5"/>
    <w:multiLevelType w:val="hybridMultilevel"/>
    <w:tmpl w:val="F3AA82E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5"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10"/>
  </w:num>
  <w:num w:numId="6">
    <w:abstractNumId w:val="16"/>
  </w:num>
  <w:num w:numId="7">
    <w:abstractNumId w:val="11"/>
  </w:num>
  <w:num w:numId="8">
    <w:abstractNumId w:val="6"/>
  </w:num>
  <w:num w:numId="9">
    <w:abstractNumId w:val="13"/>
  </w:num>
  <w:num w:numId="10">
    <w:abstractNumId w:val="5"/>
  </w:num>
  <w:num w:numId="11">
    <w:abstractNumId w:val="7"/>
  </w:num>
  <w:num w:numId="12">
    <w:abstractNumId w:val="8"/>
  </w:num>
  <w:num w:numId="13">
    <w:abstractNumId w:val="3"/>
  </w:num>
  <w:num w:numId="14">
    <w:abstractNumId w:val="15"/>
  </w:num>
  <w:num w:numId="15">
    <w:abstractNumId w:val="0"/>
  </w:num>
  <w:num w:numId="16">
    <w:abstractNumId w:val="12"/>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8239C"/>
    <w:rsid w:val="000C5382"/>
    <w:rsid w:val="00165944"/>
    <w:rsid w:val="001B1FBC"/>
    <w:rsid w:val="00211913"/>
    <w:rsid w:val="002201B4"/>
    <w:rsid w:val="00247B2E"/>
    <w:rsid w:val="00287A24"/>
    <w:rsid w:val="002F0CB1"/>
    <w:rsid w:val="00304D48"/>
    <w:rsid w:val="00315F63"/>
    <w:rsid w:val="003849EC"/>
    <w:rsid w:val="003E1A61"/>
    <w:rsid w:val="00433C5D"/>
    <w:rsid w:val="004B0AF9"/>
    <w:rsid w:val="00510098"/>
    <w:rsid w:val="00536A35"/>
    <w:rsid w:val="00604289"/>
    <w:rsid w:val="006156E0"/>
    <w:rsid w:val="00616FFE"/>
    <w:rsid w:val="00656736"/>
    <w:rsid w:val="00697C13"/>
    <w:rsid w:val="006B7F99"/>
    <w:rsid w:val="007601A9"/>
    <w:rsid w:val="00854516"/>
    <w:rsid w:val="0086139C"/>
    <w:rsid w:val="008672E4"/>
    <w:rsid w:val="00887EC3"/>
    <w:rsid w:val="008B1D9B"/>
    <w:rsid w:val="00917CEF"/>
    <w:rsid w:val="009556DA"/>
    <w:rsid w:val="00A5359E"/>
    <w:rsid w:val="00A71CAC"/>
    <w:rsid w:val="00B11817"/>
    <w:rsid w:val="00B16A4A"/>
    <w:rsid w:val="00BF5A79"/>
    <w:rsid w:val="00C4118F"/>
    <w:rsid w:val="00C43DE3"/>
    <w:rsid w:val="00EC01FD"/>
    <w:rsid w:val="00F65680"/>
    <w:rsid w:val="00FB232F"/>
    <w:rsid w:val="00FC233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gail@infocusinternational.com" TargetMode="External"/><Relationship Id="rId5" Type="http://schemas.openxmlformats.org/officeDocument/2006/relationships/hyperlink" Target="https://www.infocusinternational.com/epc-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10</cp:revision>
  <dcterms:created xsi:type="dcterms:W3CDTF">2020-12-16T03:14:00Z</dcterms:created>
  <dcterms:modified xsi:type="dcterms:W3CDTF">2021-02-03T06:52:00Z</dcterms:modified>
</cp:coreProperties>
</file>