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0A7D8" w14:textId="7147E1FA" w:rsidR="00604289" w:rsidRPr="00536A35" w:rsidRDefault="00536A35" w:rsidP="00536A35">
      <w:pPr>
        <w:autoSpaceDE w:val="0"/>
        <w:autoSpaceDN w:val="0"/>
        <w:adjustRightInd w:val="0"/>
        <w:spacing w:after="0" w:line="240" w:lineRule="auto"/>
        <w:rPr>
          <w:rFonts w:cstheme="minorHAnsi"/>
          <w:i/>
          <w:lang w:val="en-SG"/>
        </w:rPr>
      </w:pPr>
      <w:r w:rsidRPr="00536A35">
        <w:rPr>
          <w:rFonts w:cstheme="minorHAnsi"/>
          <w:i/>
          <w:lang w:val="en-SG"/>
        </w:rPr>
        <w:t>The essential guide to opportunity and risk within</w:t>
      </w:r>
      <w:r>
        <w:rPr>
          <w:rFonts w:cstheme="minorHAnsi"/>
          <w:i/>
          <w:lang w:val="en-SG"/>
        </w:rPr>
        <w:t xml:space="preserve"> </w:t>
      </w:r>
      <w:r w:rsidRPr="00536A35">
        <w:rPr>
          <w:rFonts w:cstheme="minorHAnsi"/>
          <w:i/>
          <w:lang w:val="en-SG"/>
        </w:rPr>
        <w:t>emerging EV charging value chains</w:t>
      </w:r>
    </w:p>
    <w:p w14:paraId="6BC40553" w14:textId="77777777" w:rsidR="00FC233A" w:rsidRPr="00536A35" w:rsidRDefault="00FC233A" w:rsidP="00165944">
      <w:pPr>
        <w:autoSpaceDE w:val="0"/>
        <w:autoSpaceDN w:val="0"/>
        <w:adjustRightInd w:val="0"/>
        <w:spacing w:after="0" w:line="240" w:lineRule="auto"/>
        <w:rPr>
          <w:rFonts w:cstheme="minorHAnsi"/>
          <w:i/>
          <w:lang w:val="en-SG"/>
        </w:rPr>
      </w:pPr>
    </w:p>
    <w:p w14:paraId="5052E9F6" w14:textId="3CCB1AA2" w:rsidR="00165944" w:rsidRPr="00536A35" w:rsidRDefault="00536A35" w:rsidP="00536A35">
      <w:pPr>
        <w:spacing w:after="0" w:line="240" w:lineRule="auto"/>
        <w:rPr>
          <w:rFonts w:cstheme="minorHAnsi"/>
        </w:rPr>
      </w:pPr>
      <w:r w:rsidRPr="00536A35">
        <w:rPr>
          <w:rFonts w:cstheme="minorHAnsi"/>
          <w:b/>
        </w:rPr>
        <w:t>Electric Vehicles</w:t>
      </w:r>
      <w:r>
        <w:rPr>
          <w:rFonts w:cstheme="minorHAnsi"/>
          <w:b/>
        </w:rPr>
        <w:t xml:space="preserve"> </w:t>
      </w:r>
      <w:r w:rsidRPr="00536A35">
        <w:rPr>
          <w:rFonts w:cstheme="minorHAnsi"/>
          <w:b/>
        </w:rPr>
        <w:t>&amp; the Grid</w:t>
      </w:r>
    </w:p>
    <w:p w14:paraId="569D4A5F" w14:textId="35D30E34" w:rsidR="00536A35" w:rsidRDefault="00536A35" w:rsidP="00165944">
      <w:pPr>
        <w:spacing w:after="0" w:line="240" w:lineRule="auto"/>
        <w:rPr>
          <w:rFonts w:cstheme="minorHAnsi"/>
          <w:b/>
          <w:bCs/>
          <w:lang w:val="en-SG"/>
        </w:rPr>
      </w:pPr>
      <w:r w:rsidRPr="00536A35">
        <w:rPr>
          <w:rFonts w:cstheme="minorHAnsi"/>
          <w:lang w:val="en-SG"/>
        </w:rPr>
        <w:t>LIVE ONLINE COURSE OVER 3 SESSIONS</w:t>
      </w:r>
      <w:r w:rsidRPr="00536A35">
        <w:rPr>
          <w:rFonts w:cstheme="minorHAnsi"/>
          <w:lang w:val="en-SG"/>
        </w:rPr>
        <w:br/>
      </w:r>
      <w:r w:rsidRPr="00536A35">
        <w:rPr>
          <w:rFonts w:cstheme="minorHAnsi"/>
          <w:b/>
          <w:bCs/>
          <w:lang w:val="en-SG"/>
        </w:rPr>
        <w:t>Commences: 23 February 2021</w:t>
      </w:r>
      <w:r w:rsidR="00DA10BC">
        <w:rPr>
          <w:rFonts w:cstheme="minorHAnsi"/>
          <w:b/>
          <w:bCs/>
          <w:lang w:val="en-SG"/>
        </w:rPr>
        <w:t xml:space="preserve"> – 25 February 2021 (7 – 10 am)</w:t>
      </w:r>
    </w:p>
    <w:p w14:paraId="0F852BD4" w14:textId="2B208050" w:rsidR="00536A35" w:rsidRDefault="00AD3AF5" w:rsidP="00165944">
      <w:pPr>
        <w:spacing w:after="0" w:line="240" w:lineRule="auto"/>
        <w:rPr>
          <w:rFonts w:cstheme="minorHAnsi"/>
        </w:rPr>
      </w:pPr>
      <w:hyperlink r:id="rId5" w:history="1">
        <w:r w:rsidR="00536A35" w:rsidRPr="00EF27CC">
          <w:rPr>
            <w:rStyle w:val="Hyperlink"/>
            <w:rFonts w:cstheme="minorHAnsi"/>
          </w:rPr>
          <w:t>https://www.infocusinternational.com/ev</w:t>
        </w:r>
      </w:hyperlink>
    </w:p>
    <w:p w14:paraId="7C834B5B" w14:textId="77777777" w:rsidR="00604289" w:rsidRPr="00536A35" w:rsidRDefault="00604289" w:rsidP="00165944">
      <w:pPr>
        <w:spacing w:after="0" w:line="240" w:lineRule="auto"/>
        <w:rPr>
          <w:rFonts w:cstheme="minorHAnsi"/>
        </w:rPr>
      </w:pPr>
    </w:p>
    <w:p w14:paraId="13ECE62A" w14:textId="5655C4F8" w:rsidR="00536A35" w:rsidRDefault="006B7F99" w:rsidP="00536A35">
      <w:pPr>
        <w:autoSpaceDE w:val="0"/>
        <w:autoSpaceDN w:val="0"/>
        <w:adjustRightInd w:val="0"/>
        <w:spacing w:after="0" w:line="240" w:lineRule="auto"/>
        <w:rPr>
          <w:rFonts w:cstheme="minorHAnsi"/>
          <w:lang w:val="en-SG"/>
        </w:rPr>
      </w:pPr>
      <w:r w:rsidRPr="00536A35">
        <w:rPr>
          <w:rFonts w:cstheme="minorHAnsi"/>
          <w:b/>
        </w:rPr>
        <w:t>Overview</w:t>
      </w:r>
      <w:r w:rsidR="00604289" w:rsidRPr="00536A35">
        <w:rPr>
          <w:rFonts w:cstheme="minorHAnsi"/>
          <w:b/>
        </w:rPr>
        <w:br/>
      </w:r>
      <w:r w:rsidRPr="00536A35">
        <w:rPr>
          <w:rFonts w:cstheme="minorHAnsi"/>
          <w:b/>
        </w:rPr>
        <w:br/>
      </w:r>
      <w:r w:rsidR="00536A35" w:rsidRPr="00536A35">
        <w:rPr>
          <w:rFonts w:cstheme="minorHAnsi"/>
          <w:lang w:val="en-SG"/>
        </w:rPr>
        <w:t>Even without the rapid growth of EVs, our current power systems are in the midst of a disruptive transition towards cleaner,</w:t>
      </w:r>
      <w:r w:rsidR="00536A35">
        <w:rPr>
          <w:rFonts w:cstheme="minorHAnsi"/>
          <w:lang w:val="en-SG"/>
        </w:rPr>
        <w:t xml:space="preserve"> </w:t>
      </w:r>
      <w:r w:rsidR="00536A35" w:rsidRPr="00536A35">
        <w:rPr>
          <w:rFonts w:cstheme="minorHAnsi"/>
          <w:lang w:val="en-SG"/>
        </w:rPr>
        <w:t>diversified and more flexible structures. If a transition from internal combustion engines (ICE) to electric vehicles (EVs) is to be</w:t>
      </w:r>
      <w:r w:rsidR="00536A35">
        <w:rPr>
          <w:rFonts w:cstheme="minorHAnsi"/>
          <w:lang w:val="en-SG"/>
        </w:rPr>
        <w:t xml:space="preserve"> </w:t>
      </w:r>
      <w:r w:rsidR="00536A35" w:rsidRPr="00536A35">
        <w:rPr>
          <w:rFonts w:cstheme="minorHAnsi"/>
          <w:lang w:val="en-SG"/>
        </w:rPr>
        <w:t>achieved, what will be the impact on these systems? What are the barriers to scale and which solutions (and hence market</w:t>
      </w:r>
      <w:r w:rsidR="00536A35">
        <w:rPr>
          <w:rFonts w:cstheme="minorHAnsi"/>
          <w:lang w:val="en-SG"/>
        </w:rPr>
        <w:t xml:space="preserve"> </w:t>
      </w:r>
      <w:r w:rsidR="00536A35" w:rsidRPr="00536A35">
        <w:rPr>
          <w:rFonts w:cstheme="minorHAnsi"/>
          <w:lang w:val="en-SG"/>
        </w:rPr>
        <w:t>opportunities) will be essential? This course provides a comprehensive introduction to the multi-sector issues that must be</w:t>
      </w:r>
      <w:r w:rsidR="00536A35">
        <w:rPr>
          <w:rFonts w:cstheme="minorHAnsi"/>
          <w:lang w:val="en-SG"/>
        </w:rPr>
        <w:t xml:space="preserve"> </w:t>
      </w:r>
      <w:r w:rsidR="00536A35" w:rsidRPr="00536A35">
        <w:rPr>
          <w:rFonts w:cstheme="minorHAnsi"/>
          <w:lang w:val="en-SG"/>
        </w:rPr>
        <w:t>understood and integrated, plus the competitive battles ahead, including: technology status and trends, management of electricity</w:t>
      </w:r>
      <w:r w:rsidR="00536A35">
        <w:rPr>
          <w:rFonts w:cstheme="minorHAnsi"/>
          <w:lang w:val="en-SG"/>
        </w:rPr>
        <w:t xml:space="preserve"> </w:t>
      </w:r>
      <w:r w:rsidR="00536A35" w:rsidRPr="00536A35">
        <w:rPr>
          <w:rFonts w:cstheme="minorHAnsi"/>
          <w:lang w:val="en-SG"/>
        </w:rPr>
        <w:t>demand &amp; supply, charging network players and competitors, consumer behaviour influences.</w:t>
      </w:r>
    </w:p>
    <w:p w14:paraId="69410691" w14:textId="77777777" w:rsidR="00536A35" w:rsidRDefault="00536A35" w:rsidP="00536A35">
      <w:pPr>
        <w:autoSpaceDE w:val="0"/>
        <w:autoSpaceDN w:val="0"/>
        <w:adjustRightInd w:val="0"/>
        <w:spacing w:after="0" w:line="240" w:lineRule="auto"/>
        <w:rPr>
          <w:rFonts w:cstheme="minorHAnsi"/>
          <w:lang w:val="en-SG"/>
        </w:rPr>
      </w:pPr>
    </w:p>
    <w:p w14:paraId="35D3B015" w14:textId="4D2FF858" w:rsidR="00247B2E" w:rsidRPr="00536A35" w:rsidRDefault="00536A35" w:rsidP="00165944">
      <w:pPr>
        <w:spacing w:after="0" w:line="240" w:lineRule="auto"/>
        <w:rPr>
          <w:rFonts w:cstheme="minorHAnsi"/>
          <w:b/>
        </w:rPr>
      </w:pPr>
      <w:r w:rsidRPr="00536A35">
        <w:rPr>
          <w:rFonts w:cstheme="minorHAnsi"/>
          <w:b/>
        </w:rPr>
        <w:t>Course Sessions</w:t>
      </w:r>
      <w:r>
        <w:rPr>
          <w:rFonts w:cstheme="minorHAnsi"/>
          <w:b/>
        </w:rPr>
        <w:br/>
      </w:r>
    </w:p>
    <w:p w14:paraId="724E6726" w14:textId="77777777" w:rsidR="00536A35" w:rsidRDefault="00536A35" w:rsidP="00536A35">
      <w:pPr>
        <w:autoSpaceDE w:val="0"/>
        <w:autoSpaceDN w:val="0"/>
        <w:adjustRightInd w:val="0"/>
        <w:spacing w:after="0" w:line="240" w:lineRule="auto"/>
        <w:rPr>
          <w:rFonts w:ascii="Calibri-Light" w:hAnsi="Calibri-Light" w:cs="Calibri-Light"/>
          <w:sz w:val="24"/>
          <w:szCs w:val="24"/>
          <w:lang w:val="en-SG"/>
        </w:rPr>
      </w:pPr>
      <w:r>
        <w:rPr>
          <w:rFonts w:ascii="Calibri-Light" w:hAnsi="Calibri-Light" w:cs="Calibri-Light"/>
          <w:sz w:val="24"/>
          <w:szCs w:val="24"/>
          <w:lang w:val="en-SG"/>
        </w:rPr>
        <w:t>1. The EV market and its bulk impact on electricity systems</w:t>
      </w:r>
    </w:p>
    <w:p w14:paraId="44D804BB" w14:textId="77777777" w:rsidR="00536A35" w:rsidRDefault="00536A35" w:rsidP="00536A35">
      <w:pPr>
        <w:autoSpaceDE w:val="0"/>
        <w:autoSpaceDN w:val="0"/>
        <w:adjustRightInd w:val="0"/>
        <w:spacing w:after="0" w:line="240" w:lineRule="auto"/>
        <w:rPr>
          <w:rFonts w:ascii="Calibri-Light" w:hAnsi="Calibri-Light" w:cs="Calibri-Light"/>
          <w:sz w:val="24"/>
          <w:szCs w:val="24"/>
          <w:lang w:val="en-SG"/>
        </w:rPr>
      </w:pPr>
      <w:r>
        <w:rPr>
          <w:rFonts w:ascii="Calibri-Light" w:hAnsi="Calibri-Light" w:cs="Calibri-Light"/>
          <w:sz w:val="24"/>
          <w:szCs w:val="24"/>
          <w:lang w:val="en-SG"/>
        </w:rPr>
        <w:t>2. Charging challenges, smart charging and EVs as grid assets</w:t>
      </w:r>
    </w:p>
    <w:p w14:paraId="6654D304" w14:textId="0E50A8BE" w:rsidR="00B16A4A" w:rsidRDefault="00536A35" w:rsidP="00536A35">
      <w:pPr>
        <w:spacing w:after="0" w:line="240" w:lineRule="auto"/>
        <w:rPr>
          <w:rFonts w:ascii="Calibri-Light" w:hAnsi="Calibri-Light" w:cs="Calibri-Light"/>
          <w:sz w:val="24"/>
          <w:szCs w:val="24"/>
          <w:lang w:val="en-SG"/>
        </w:rPr>
      </w:pPr>
      <w:r>
        <w:rPr>
          <w:rFonts w:ascii="Calibri-Light" w:hAnsi="Calibri-Light" w:cs="Calibri-Light"/>
          <w:sz w:val="24"/>
          <w:szCs w:val="24"/>
          <w:lang w:val="en-SG"/>
        </w:rPr>
        <w:t>3. Value chain convergence and technology disruption</w:t>
      </w:r>
    </w:p>
    <w:p w14:paraId="476644D5" w14:textId="77777777" w:rsidR="00536A35" w:rsidRPr="00536A35" w:rsidRDefault="00536A35" w:rsidP="00536A35">
      <w:pPr>
        <w:spacing w:after="0" w:line="240" w:lineRule="auto"/>
        <w:rPr>
          <w:rFonts w:cstheme="minorHAnsi"/>
          <w:b/>
        </w:rPr>
      </w:pPr>
    </w:p>
    <w:p w14:paraId="582D6A36" w14:textId="229C7752" w:rsidR="006B7F99" w:rsidRDefault="00536A35" w:rsidP="00165944">
      <w:pPr>
        <w:spacing w:after="0" w:line="240" w:lineRule="auto"/>
        <w:rPr>
          <w:rFonts w:cstheme="minorHAnsi"/>
          <w:b/>
        </w:rPr>
      </w:pPr>
      <w:r w:rsidRPr="00536A35">
        <w:rPr>
          <w:rFonts w:cstheme="minorHAnsi"/>
          <w:b/>
        </w:rPr>
        <w:t>Benefits of Attending</w:t>
      </w:r>
    </w:p>
    <w:p w14:paraId="679A594E" w14:textId="77777777" w:rsidR="00536A35" w:rsidRPr="00536A35" w:rsidRDefault="00536A35" w:rsidP="00165944">
      <w:pPr>
        <w:spacing w:after="0" w:line="240" w:lineRule="auto"/>
        <w:rPr>
          <w:rFonts w:cstheme="minorHAnsi"/>
          <w:b/>
        </w:rPr>
      </w:pPr>
    </w:p>
    <w:p w14:paraId="14521576" w14:textId="77777777" w:rsidR="00536A35" w:rsidRDefault="00536A35" w:rsidP="00536A35">
      <w:pPr>
        <w:pStyle w:val="ListParagraph"/>
        <w:numPr>
          <w:ilvl w:val="0"/>
          <w:numId w:val="17"/>
        </w:numPr>
        <w:spacing w:after="0" w:line="240" w:lineRule="auto"/>
        <w:rPr>
          <w:rFonts w:cstheme="minorHAnsi"/>
          <w:lang w:val="en-SG"/>
        </w:rPr>
      </w:pPr>
      <w:r w:rsidRPr="00536A35">
        <w:rPr>
          <w:rFonts w:cstheme="minorHAnsi"/>
          <w:lang w:val="en-SG"/>
        </w:rPr>
        <w:t>Quantify the variables which will determine the impact of EVs on electricity supply</w:t>
      </w:r>
    </w:p>
    <w:p w14:paraId="13D9966C" w14:textId="77777777" w:rsidR="00536A35" w:rsidRDefault="00536A35" w:rsidP="00AE6058">
      <w:pPr>
        <w:pStyle w:val="ListParagraph"/>
        <w:numPr>
          <w:ilvl w:val="0"/>
          <w:numId w:val="17"/>
        </w:numPr>
        <w:spacing w:after="0" w:line="240" w:lineRule="auto"/>
        <w:rPr>
          <w:rFonts w:cstheme="minorHAnsi"/>
          <w:lang w:val="en-SG"/>
        </w:rPr>
      </w:pPr>
      <w:r w:rsidRPr="00536A35">
        <w:rPr>
          <w:rFonts w:cstheme="minorHAnsi"/>
          <w:lang w:val="en-SG"/>
        </w:rPr>
        <w:t>Identify the key barriers to widespread EV integration and growth, from a power system perspective</w:t>
      </w:r>
    </w:p>
    <w:p w14:paraId="45113183" w14:textId="77777777" w:rsidR="00536A35" w:rsidRDefault="00536A35" w:rsidP="00717E70">
      <w:pPr>
        <w:pStyle w:val="ListParagraph"/>
        <w:numPr>
          <w:ilvl w:val="0"/>
          <w:numId w:val="17"/>
        </w:numPr>
        <w:spacing w:after="0" w:line="240" w:lineRule="auto"/>
        <w:rPr>
          <w:rFonts w:cstheme="minorHAnsi"/>
          <w:lang w:val="en-SG"/>
        </w:rPr>
      </w:pPr>
      <w:r w:rsidRPr="00536A35">
        <w:rPr>
          <w:rFonts w:cstheme="minorHAnsi"/>
          <w:lang w:val="en-SG"/>
        </w:rPr>
        <w:t>Assess where and how EVs can help the grid, through smart charging and Vehicle-to-Grid (V2G) solutions</w:t>
      </w:r>
    </w:p>
    <w:p w14:paraId="5368BDA6" w14:textId="77777777" w:rsidR="00536A35" w:rsidRDefault="00536A35" w:rsidP="00536A35">
      <w:pPr>
        <w:pStyle w:val="ListParagraph"/>
        <w:numPr>
          <w:ilvl w:val="0"/>
          <w:numId w:val="17"/>
        </w:numPr>
        <w:spacing w:after="0" w:line="240" w:lineRule="auto"/>
        <w:rPr>
          <w:rFonts w:cstheme="minorHAnsi"/>
          <w:lang w:val="en-SG"/>
        </w:rPr>
      </w:pPr>
      <w:r w:rsidRPr="00536A35">
        <w:rPr>
          <w:rFonts w:cstheme="minorHAnsi"/>
          <w:lang w:val="en-SG"/>
        </w:rPr>
        <w:t>Get up-to-date on the most significant value chain activities and</w:t>
      </w:r>
      <w:r>
        <w:rPr>
          <w:rFonts w:cstheme="minorHAnsi"/>
          <w:lang w:val="en-SG"/>
        </w:rPr>
        <w:t xml:space="preserve"> </w:t>
      </w:r>
      <w:r w:rsidRPr="00536A35">
        <w:rPr>
          <w:rFonts w:cstheme="minorHAnsi"/>
          <w:lang w:val="en-SG"/>
        </w:rPr>
        <w:t>pilot study findings</w:t>
      </w:r>
    </w:p>
    <w:p w14:paraId="702A37A0" w14:textId="77777777" w:rsidR="00536A35" w:rsidRDefault="00536A35" w:rsidP="00C4130B">
      <w:pPr>
        <w:pStyle w:val="ListParagraph"/>
        <w:numPr>
          <w:ilvl w:val="0"/>
          <w:numId w:val="17"/>
        </w:numPr>
        <w:spacing w:after="0" w:line="240" w:lineRule="auto"/>
        <w:rPr>
          <w:rFonts w:cstheme="minorHAnsi"/>
          <w:lang w:val="en-SG"/>
        </w:rPr>
      </w:pPr>
      <w:r w:rsidRPr="00536A35">
        <w:rPr>
          <w:rFonts w:cstheme="minorHAnsi"/>
          <w:lang w:val="en-SG"/>
        </w:rPr>
        <w:t>Analyse and segment the competitive landscape for EV charging</w:t>
      </w:r>
    </w:p>
    <w:p w14:paraId="5C0D4A13" w14:textId="0FFC29C8" w:rsidR="00165944" w:rsidRPr="00536A35" w:rsidRDefault="00536A35" w:rsidP="0085179A">
      <w:pPr>
        <w:pStyle w:val="ListParagraph"/>
        <w:numPr>
          <w:ilvl w:val="0"/>
          <w:numId w:val="17"/>
        </w:numPr>
        <w:spacing w:after="0" w:line="240" w:lineRule="auto"/>
        <w:rPr>
          <w:rFonts w:cstheme="minorHAnsi"/>
          <w:lang w:val="en-SG"/>
        </w:rPr>
      </w:pPr>
      <w:r w:rsidRPr="00536A35">
        <w:rPr>
          <w:rFonts w:cstheme="minorHAnsi"/>
          <w:lang w:val="en-SG"/>
        </w:rPr>
        <w:t>Understand and discuss which future technologies, behavioural trends and policy influences will be crucial to creating long-term,</w:t>
      </w:r>
      <w:r>
        <w:rPr>
          <w:rFonts w:cstheme="minorHAnsi"/>
          <w:lang w:val="en-SG"/>
        </w:rPr>
        <w:t xml:space="preserve"> </w:t>
      </w:r>
      <w:r w:rsidRPr="00536A35">
        <w:rPr>
          <w:rFonts w:cstheme="minorHAnsi"/>
          <w:lang w:val="en-SG"/>
        </w:rPr>
        <w:t>sustainable business models</w:t>
      </w:r>
    </w:p>
    <w:p w14:paraId="57A9DAFD" w14:textId="77777777" w:rsidR="00536A35" w:rsidRPr="00536A35" w:rsidRDefault="00536A35" w:rsidP="00536A35">
      <w:pPr>
        <w:spacing w:after="0" w:line="240" w:lineRule="auto"/>
        <w:rPr>
          <w:rFonts w:cstheme="minorHAnsi"/>
          <w:b/>
        </w:rPr>
      </w:pPr>
    </w:p>
    <w:p w14:paraId="04DF9066" w14:textId="77777777" w:rsidR="00165944" w:rsidRPr="00536A35" w:rsidRDefault="00165944" w:rsidP="00165944">
      <w:pPr>
        <w:spacing w:after="100" w:line="240" w:lineRule="auto"/>
        <w:rPr>
          <w:rFonts w:cstheme="minorHAnsi"/>
          <w:b/>
          <w:color w:val="282526"/>
          <w:lang w:val="en-SG"/>
        </w:rPr>
      </w:pPr>
      <w:r w:rsidRPr="00536A35">
        <w:rPr>
          <w:rFonts w:cstheme="minorHAnsi"/>
          <w:b/>
          <w:color w:val="282526"/>
          <w:lang w:val="en-SG"/>
        </w:rPr>
        <w:t>Testimonials</w:t>
      </w:r>
    </w:p>
    <w:p w14:paraId="0FB35633" w14:textId="77777777" w:rsidR="001B1FBC" w:rsidRPr="00536A35" w:rsidRDefault="001B1FBC" w:rsidP="00165944">
      <w:pPr>
        <w:spacing w:after="0" w:line="240" w:lineRule="auto"/>
        <w:rPr>
          <w:rFonts w:cstheme="minorHAnsi"/>
          <w:color w:val="282526"/>
          <w:lang w:val="en-SG"/>
        </w:rPr>
      </w:pPr>
    </w:p>
    <w:p w14:paraId="00E363E4" w14:textId="397DF08A" w:rsidR="00510098" w:rsidRPr="00510098" w:rsidRDefault="00510098" w:rsidP="00510098">
      <w:pPr>
        <w:spacing w:after="0" w:line="240" w:lineRule="auto"/>
        <w:rPr>
          <w:rFonts w:cstheme="minorHAnsi"/>
          <w:lang w:val="en-SG"/>
        </w:rPr>
      </w:pPr>
      <w:r w:rsidRPr="00510098">
        <w:rPr>
          <w:rFonts w:cstheme="minorHAnsi"/>
          <w:lang w:val="en-SG"/>
        </w:rPr>
        <w:t>“This was one of my best spent weeks on training all year! I found him very knowledgeable and enthusiastic in presenting the material, also enabling knowledge exchange between participants in the group. Thanks.”</w:t>
      </w:r>
    </w:p>
    <w:p w14:paraId="2E7BD3CF" w14:textId="0EBE3E45" w:rsidR="00510098" w:rsidRPr="00510098" w:rsidRDefault="00510098" w:rsidP="00510098">
      <w:pPr>
        <w:spacing w:after="0" w:line="240" w:lineRule="auto"/>
        <w:rPr>
          <w:rFonts w:cstheme="minorHAnsi"/>
          <w:lang w:val="en-SG"/>
        </w:rPr>
      </w:pPr>
      <w:r w:rsidRPr="00510098">
        <w:rPr>
          <w:rFonts w:cstheme="minorHAnsi"/>
          <w:lang w:val="en-SG"/>
        </w:rPr>
        <w:t>- Statkraft Development AS</w:t>
      </w:r>
    </w:p>
    <w:p w14:paraId="33678AD9" w14:textId="77777777" w:rsidR="00510098" w:rsidRPr="00510098" w:rsidRDefault="00510098" w:rsidP="00510098">
      <w:pPr>
        <w:spacing w:after="0" w:line="240" w:lineRule="auto"/>
        <w:rPr>
          <w:rFonts w:cstheme="minorHAnsi"/>
          <w:lang w:val="en-SG"/>
        </w:rPr>
      </w:pPr>
    </w:p>
    <w:p w14:paraId="5F796598" w14:textId="77777777" w:rsidR="00510098" w:rsidRPr="00510098" w:rsidRDefault="00510098" w:rsidP="00510098">
      <w:pPr>
        <w:spacing w:after="0" w:line="240" w:lineRule="auto"/>
        <w:rPr>
          <w:rFonts w:cstheme="minorHAnsi"/>
          <w:lang w:val="en-SG"/>
        </w:rPr>
      </w:pPr>
      <w:r w:rsidRPr="00510098">
        <w:rPr>
          <w:rFonts w:cstheme="minorHAnsi"/>
          <w:lang w:val="en-SG"/>
        </w:rPr>
        <w:t>“The course was well researched, interesting and on point.”</w:t>
      </w:r>
    </w:p>
    <w:p w14:paraId="4F3B62CE" w14:textId="2A294D23" w:rsidR="00510098" w:rsidRPr="00510098" w:rsidRDefault="00510098" w:rsidP="00510098">
      <w:pPr>
        <w:spacing w:after="0" w:line="240" w:lineRule="auto"/>
        <w:rPr>
          <w:rFonts w:cstheme="minorHAnsi"/>
          <w:lang w:val="en-SG"/>
        </w:rPr>
      </w:pPr>
      <w:r w:rsidRPr="00510098">
        <w:rPr>
          <w:rFonts w:cstheme="minorHAnsi"/>
          <w:lang w:val="en-SG"/>
        </w:rPr>
        <w:t>- Tullett Prebon</w:t>
      </w:r>
    </w:p>
    <w:p w14:paraId="0D80FCE1" w14:textId="77777777" w:rsidR="00510098" w:rsidRPr="00510098" w:rsidRDefault="00510098" w:rsidP="00510098">
      <w:pPr>
        <w:spacing w:after="0" w:line="240" w:lineRule="auto"/>
        <w:rPr>
          <w:rFonts w:cstheme="minorHAnsi"/>
          <w:lang w:val="en-SG"/>
        </w:rPr>
      </w:pPr>
    </w:p>
    <w:p w14:paraId="344A4E41" w14:textId="77777777" w:rsidR="00510098" w:rsidRPr="00510098" w:rsidRDefault="00510098" w:rsidP="00510098">
      <w:pPr>
        <w:spacing w:after="0" w:line="240" w:lineRule="auto"/>
        <w:rPr>
          <w:rFonts w:cstheme="minorHAnsi"/>
          <w:lang w:val="en-SG"/>
        </w:rPr>
      </w:pPr>
      <w:r w:rsidRPr="00510098">
        <w:rPr>
          <w:rFonts w:cstheme="minorHAnsi"/>
          <w:lang w:val="en-SG"/>
        </w:rPr>
        <w:t>“Very well-organised class with excellent trainer. Impressive!”</w:t>
      </w:r>
    </w:p>
    <w:p w14:paraId="21A8F027" w14:textId="381B93C9" w:rsidR="00510098" w:rsidRPr="00510098" w:rsidRDefault="00510098" w:rsidP="00510098">
      <w:pPr>
        <w:spacing w:after="0" w:line="240" w:lineRule="auto"/>
        <w:rPr>
          <w:rFonts w:cstheme="minorHAnsi"/>
          <w:lang w:val="en-SG"/>
        </w:rPr>
      </w:pPr>
      <w:r w:rsidRPr="00510098">
        <w:rPr>
          <w:rFonts w:cstheme="minorHAnsi"/>
          <w:lang w:val="en-SG"/>
        </w:rPr>
        <w:t>- Bangkok Cogeneration Co.</w:t>
      </w:r>
    </w:p>
    <w:p w14:paraId="15015B4B" w14:textId="77777777" w:rsidR="00510098" w:rsidRPr="00510098" w:rsidRDefault="00510098" w:rsidP="00510098">
      <w:pPr>
        <w:spacing w:after="0" w:line="240" w:lineRule="auto"/>
        <w:rPr>
          <w:rFonts w:cstheme="minorHAnsi"/>
          <w:lang w:val="en-SG"/>
        </w:rPr>
      </w:pPr>
    </w:p>
    <w:p w14:paraId="49E61FAF" w14:textId="689CA832" w:rsidR="00510098" w:rsidRPr="00510098" w:rsidRDefault="00510098" w:rsidP="00510098">
      <w:pPr>
        <w:spacing w:after="0" w:line="240" w:lineRule="auto"/>
        <w:rPr>
          <w:rFonts w:cstheme="minorHAnsi"/>
          <w:lang w:val="en-SG"/>
        </w:rPr>
      </w:pPr>
      <w:r w:rsidRPr="00510098">
        <w:rPr>
          <w:rFonts w:cstheme="minorHAnsi"/>
          <w:lang w:val="en-SG"/>
        </w:rPr>
        <w:lastRenderedPageBreak/>
        <w:t>“He is a professional trainer with excellent presentation skills. He is able to make simple presentation of complex issues and has a very good knowledge of the renewable energy matters. I highly recommend him as a trainer!”</w:t>
      </w:r>
    </w:p>
    <w:p w14:paraId="46E3DE13" w14:textId="4AD4FA54" w:rsidR="00165944" w:rsidRPr="00510098" w:rsidRDefault="00510098" w:rsidP="00510098">
      <w:pPr>
        <w:spacing w:after="0" w:line="240" w:lineRule="auto"/>
        <w:rPr>
          <w:rFonts w:cstheme="minorHAnsi"/>
          <w:lang w:val="en-SG"/>
        </w:rPr>
      </w:pPr>
      <w:r w:rsidRPr="00510098">
        <w:rPr>
          <w:rFonts w:cstheme="minorHAnsi"/>
          <w:lang w:val="en-SG"/>
        </w:rPr>
        <w:t>- IDETA</w:t>
      </w:r>
    </w:p>
    <w:p w14:paraId="67944B7E" w14:textId="77777777" w:rsidR="00510098" w:rsidRPr="00510098" w:rsidRDefault="00510098" w:rsidP="00510098">
      <w:pPr>
        <w:spacing w:after="0" w:line="240" w:lineRule="auto"/>
        <w:rPr>
          <w:rFonts w:cstheme="minorHAnsi"/>
          <w:lang w:val="en-SG"/>
        </w:rPr>
      </w:pPr>
    </w:p>
    <w:p w14:paraId="3C1E07F3" w14:textId="17C160CE" w:rsidR="00510098" w:rsidRPr="00510098" w:rsidRDefault="00510098" w:rsidP="00165944">
      <w:pPr>
        <w:autoSpaceDE w:val="0"/>
        <w:autoSpaceDN w:val="0"/>
        <w:adjustRightInd w:val="0"/>
        <w:spacing w:after="0" w:line="240" w:lineRule="auto"/>
        <w:rPr>
          <w:rFonts w:cstheme="minorHAnsi"/>
          <w:b/>
        </w:rPr>
      </w:pPr>
      <w:r w:rsidRPr="00510098">
        <w:rPr>
          <w:rFonts w:cstheme="minorHAnsi"/>
          <w:b/>
        </w:rPr>
        <w:t>Live Online Course - How It Works</w:t>
      </w:r>
    </w:p>
    <w:p w14:paraId="70AB789A" w14:textId="77777777" w:rsidR="00510098" w:rsidRPr="00510098" w:rsidRDefault="00510098" w:rsidP="00165944">
      <w:pPr>
        <w:autoSpaceDE w:val="0"/>
        <w:autoSpaceDN w:val="0"/>
        <w:adjustRightInd w:val="0"/>
        <w:spacing w:after="0" w:line="240" w:lineRule="auto"/>
        <w:rPr>
          <w:rFonts w:cstheme="minorHAnsi"/>
          <w:b/>
        </w:rPr>
      </w:pPr>
    </w:p>
    <w:p w14:paraId="716779A4" w14:textId="651C9C64" w:rsidR="00510098" w:rsidRPr="00510098" w:rsidRDefault="00510098" w:rsidP="00510098">
      <w:pPr>
        <w:rPr>
          <w:lang w:val="en-SG" w:eastAsia="en-US"/>
        </w:rPr>
      </w:pPr>
      <w:r w:rsidRPr="00510098">
        <w:rPr>
          <w:lang w:eastAsia="en-US"/>
        </w:rPr>
        <w:t>The structure of our virtual learning program is designed to keep the same levels of engagement and networking as our on-site public courses. Course content is delivered through our easy-to-use online learning platform and is supplemented by case studies and practical exercises.</w:t>
      </w:r>
    </w:p>
    <w:p w14:paraId="41E86A63" w14:textId="15A88D2F" w:rsidR="00510098" w:rsidRPr="00510098" w:rsidRDefault="00510098" w:rsidP="00510098">
      <w:pPr>
        <w:rPr>
          <w:lang w:eastAsia="en-US"/>
        </w:rPr>
      </w:pPr>
      <w:r w:rsidRPr="00510098">
        <w:rPr>
          <w:lang w:eastAsia="en-US"/>
        </w:rPr>
        <w:t>Like our classroom-based public courses, you will have live interaction with our course facilitators and other participants. Our live online courses are led by our experienced instructors, who will provide you with easily digestible content, using knowledge learned from many years in the industry, during scheduled times. Delegates will receive copies of the course materials electronically.</w:t>
      </w:r>
    </w:p>
    <w:p w14:paraId="3CE6250E" w14:textId="06C04D91" w:rsidR="00EC01FD" w:rsidRPr="00510098" w:rsidRDefault="00510098" w:rsidP="00510098">
      <w:pPr>
        <w:rPr>
          <w:lang w:eastAsia="en-SG"/>
        </w:rPr>
      </w:pPr>
      <w:r w:rsidRPr="00510098">
        <w:rPr>
          <w:lang w:eastAsia="en-US"/>
        </w:rPr>
        <w:t>This course is scheduled to take place over 3 live online sessions using virtual learning technology.</w:t>
      </w:r>
    </w:p>
    <w:p w14:paraId="64286BF1" w14:textId="77777777" w:rsidR="006B7F99" w:rsidRPr="00536A35" w:rsidRDefault="006B7F99" w:rsidP="00165944">
      <w:pPr>
        <w:spacing w:line="240" w:lineRule="auto"/>
        <w:rPr>
          <w:rFonts w:cstheme="minorHAnsi"/>
          <w:b/>
        </w:rPr>
      </w:pPr>
      <w:r w:rsidRPr="00536A35">
        <w:rPr>
          <w:rFonts w:cstheme="minorHAnsi"/>
          <w:b/>
        </w:rPr>
        <w:t>To register/enquire, please contact:</w:t>
      </w:r>
    </w:p>
    <w:p w14:paraId="53EFB6F6" w14:textId="77777777" w:rsidR="00446070" w:rsidRPr="00164FEC" w:rsidRDefault="00446070" w:rsidP="00446070">
      <w:pPr>
        <w:pStyle w:val="NoSpacing"/>
        <w:rPr>
          <w:rFonts w:cstheme="minorHAnsi"/>
          <w:b/>
        </w:rPr>
      </w:pPr>
      <w:r>
        <w:rPr>
          <w:rFonts w:cstheme="minorHAnsi"/>
          <w:b/>
        </w:rPr>
        <w:t>Abigail Harris</w:t>
      </w:r>
    </w:p>
    <w:p w14:paraId="2E4ADD13" w14:textId="77777777" w:rsidR="00446070" w:rsidRPr="00164FEC" w:rsidRDefault="00446070" w:rsidP="00446070">
      <w:pPr>
        <w:pStyle w:val="NoSpacing"/>
        <w:rPr>
          <w:rFonts w:cstheme="minorHAnsi"/>
          <w:b/>
        </w:rPr>
      </w:pPr>
      <w:r w:rsidRPr="00164FEC">
        <w:rPr>
          <w:rFonts w:cstheme="minorHAnsi"/>
          <w:b/>
        </w:rPr>
        <w:t>Infocus International Group</w:t>
      </w:r>
    </w:p>
    <w:p w14:paraId="090FF65A" w14:textId="77777777" w:rsidR="00446070" w:rsidRPr="00164FEC" w:rsidRDefault="00446070" w:rsidP="00446070">
      <w:pPr>
        <w:pStyle w:val="NoSpacing"/>
        <w:rPr>
          <w:rFonts w:cstheme="minorHAnsi"/>
          <w:b/>
        </w:rPr>
      </w:pPr>
      <w:r w:rsidRPr="00164FEC">
        <w:rPr>
          <w:rFonts w:cstheme="minorHAnsi"/>
          <w:b/>
        </w:rPr>
        <w:t>Tel: +65 6325 02</w:t>
      </w:r>
      <w:r>
        <w:rPr>
          <w:rFonts w:cstheme="minorHAnsi"/>
          <w:b/>
        </w:rPr>
        <w:t>15</w:t>
      </w:r>
      <w:r w:rsidRPr="00164FEC">
        <w:rPr>
          <w:rFonts w:cstheme="minorHAnsi"/>
          <w:b/>
        </w:rPr>
        <w:t xml:space="preserve"> | Email: </w:t>
      </w:r>
      <w:hyperlink r:id="rId6" w:history="1">
        <w:r w:rsidRPr="007F2BBE">
          <w:rPr>
            <w:rStyle w:val="Hyperlink"/>
            <w:rFonts w:cstheme="minorHAnsi"/>
            <w:b/>
          </w:rPr>
          <w:t>abigail@infocusinternational.com</w:t>
        </w:r>
      </w:hyperlink>
    </w:p>
    <w:p w14:paraId="7CC2AAEA" w14:textId="3143F039" w:rsidR="007601A9" w:rsidRPr="00510098" w:rsidRDefault="007601A9" w:rsidP="00837D44">
      <w:pPr>
        <w:pStyle w:val="NoSpacing"/>
        <w:rPr>
          <w:rFonts w:cstheme="minorHAnsi"/>
          <w:b/>
        </w:rPr>
      </w:pPr>
    </w:p>
    <w:sectPr w:rsidR="007601A9" w:rsidRPr="00510098" w:rsidSect="00760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E7C4E"/>
    <w:multiLevelType w:val="hybridMultilevel"/>
    <w:tmpl w:val="1E760D8E"/>
    <w:lvl w:ilvl="0" w:tplc="6DC8F7FE">
      <w:numFmt w:val="bullet"/>
      <w:lvlText w:val="■"/>
      <w:lvlJc w:val="left"/>
      <w:pPr>
        <w:ind w:left="1440" w:hanging="360"/>
      </w:pPr>
      <w:rPr>
        <w:rFonts w:ascii="SimSun" w:eastAsia="SimSun" w:hAnsi="SimSun" w:cs="Arial"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2720BE"/>
    <w:multiLevelType w:val="hybridMultilevel"/>
    <w:tmpl w:val="C77C6FDE"/>
    <w:lvl w:ilvl="0" w:tplc="48090001">
      <w:start w:val="1"/>
      <w:numFmt w:val="bullet"/>
      <w:lvlText w:val=""/>
      <w:lvlJc w:val="left"/>
      <w:pPr>
        <w:ind w:left="504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2" w15:restartNumberingAfterBreak="0">
    <w:nsid w:val="2057725C"/>
    <w:multiLevelType w:val="hybridMultilevel"/>
    <w:tmpl w:val="F88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B393B"/>
    <w:multiLevelType w:val="hybridMultilevel"/>
    <w:tmpl w:val="7C0C74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7454D1C"/>
    <w:multiLevelType w:val="hybridMultilevel"/>
    <w:tmpl w:val="D0CA74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87B3D07"/>
    <w:multiLevelType w:val="hybridMultilevel"/>
    <w:tmpl w:val="DB2A5B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8980BA0"/>
    <w:multiLevelType w:val="hybridMultilevel"/>
    <w:tmpl w:val="644406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32687864"/>
    <w:multiLevelType w:val="hybridMultilevel"/>
    <w:tmpl w:val="E81C3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46B3500"/>
    <w:multiLevelType w:val="hybridMultilevel"/>
    <w:tmpl w:val="F4A052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53F6310"/>
    <w:multiLevelType w:val="hybridMultilevel"/>
    <w:tmpl w:val="3A263F0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41AE6CDC"/>
    <w:multiLevelType w:val="hybridMultilevel"/>
    <w:tmpl w:val="ECC854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48104A77"/>
    <w:multiLevelType w:val="hybridMultilevel"/>
    <w:tmpl w:val="EDA4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713EC"/>
    <w:multiLevelType w:val="hybridMultilevel"/>
    <w:tmpl w:val="FA66BB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4A015000"/>
    <w:multiLevelType w:val="hybridMultilevel"/>
    <w:tmpl w:val="8EC23AD8"/>
    <w:lvl w:ilvl="0" w:tplc="48090001">
      <w:start w:val="1"/>
      <w:numFmt w:val="bullet"/>
      <w:lvlText w:val=""/>
      <w:lvlJc w:val="left"/>
      <w:pPr>
        <w:ind w:left="72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14" w15:restartNumberingAfterBreak="0">
    <w:nsid w:val="64530EB7"/>
    <w:multiLevelType w:val="hybridMultilevel"/>
    <w:tmpl w:val="809696B4"/>
    <w:lvl w:ilvl="0" w:tplc="6DC8F7FE">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E2D81"/>
    <w:multiLevelType w:val="hybridMultilevel"/>
    <w:tmpl w:val="ED08DA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9"/>
  </w:num>
  <w:num w:numId="6">
    <w:abstractNumId w:val="15"/>
  </w:num>
  <w:num w:numId="7">
    <w:abstractNumId w:val="10"/>
  </w:num>
  <w:num w:numId="8">
    <w:abstractNumId w:val="5"/>
  </w:num>
  <w:num w:numId="9">
    <w:abstractNumId w:val="12"/>
  </w:num>
  <w:num w:numId="10">
    <w:abstractNumId w:val="4"/>
  </w:num>
  <w:num w:numId="11">
    <w:abstractNumId w:val="6"/>
  </w:num>
  <w:num w:numId="12">
    <w:abstractNumId w:val="7"/>
  </w:num>
  <w:num w:numId="13">
    <w:abstractNumId w:val="2"/>
  </w:num>
  <w:num w:numId="14">
    <w:abstractNumId w:val="14"/>
  </w:num>
  <w:num w:numId="15">
    <w:abstractNumId w:val="0"/>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99"/>
    <w:rsid w:val="000C5382"/>
    <w:rsid w:val="00165944"/>
    <w:rsid w:val="001B1FBC"/>
    <w:rsid w:val="00211913"/>
    <w:rsid w:val="002201B4"/>
    <w:rsid w:val="00247B2E"/>
    <w:rsid w:val="00287A24"/>
    <w:rsid w:val="002F0CB1"/>
    <w:rsid w:val="00304D48"/>
    <w:rsid w:val="00315F63"/>
    <w:rsid w:val="003849EC"/>
    <w:rsid w:val="00446070"/>
    <w:rsid w:val="004B0AF9"/>
    <w:rsid w:val="00510098"/>
    <w:rsid w:val="00536A35"/>
    <w:rsid w:val="00604289"/>
    <w:rsid w:val="006156E0"/>
    <w:rsid w:val="00616FFE"/>
    <w:rsid w:val="00656736"/>
    <w:rsid w:val="00697C13"/>
    <w:rsid w:val="006B7F99"/>
    <w:rsid w:val="007601A9"/>
    <w:rsid w:val="00837D44"/>
    <w:rsid w:val="00854516"/>
    <w:rsid w:val="0086139C"/>
    <w:rsid w:val="008672E4"/>
    <w:rsid w:val="008B1D9B"/>
    <w:rsid w:val="00A5359E"/>
    <w:rsid w:val="00A71CAC"/>
    <w:rsid w:val="00AD3AF5"/>
    <w:rsid w:val="00B11817"/>
    <w:rsid w:val="00B16A4A"/>
    <w:rsid w:val="00BF5A79"/>
    <w:rsid w:val="00C4118F"/>
    <w:rsid w:val="00C7212F"/>
    <w:rsid w:val="00DA10BC"/>
    <w:rsid w:val="00EC01FD"/>
    <w:rsid w:val="00F54A5E"/>
    <w:rsid w:val="00FC233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A0EC"/>
  <w15:docId w15:val="{8A00C03D-DE83-4A97-8D0C-7296FC2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F99"/>
    <w:rPr>
      <w:color w:val="0000FF" w:themeColor="hyperlink"/>
      <w:u w:val="single"/>
    </w:rPr>
  </w:style>
  <w:style w:type="paragraph" w:styleId="NoSpacing">
    <w:name w:val="No Spacing"/>
    <w:uiPriority w:val="1"/>
    <w:qFormat/>
    <w:rsid w:val="006B7F99"/>
    <w:pPr>
      <w:spacing w:after="0" w:line="240" w:lineRule="auto"/>
    </w:pPr>
  </w:style>
  <w:style w:type="paragraph" w:styleId="NormalWeb">
    <w:name w:val="Normal (Web)"/>
    <w:basedOn w:val="Normal"/>
    <w:uiPriority w:val="99"/>
    <w:unhideWhenUsed/>
    <w:rsid w:val="006B7F99"/>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ListParagraph">
    <w:name w:val="List Paragraph"/>
    <w:basedOn w:val="Normal"/>
    <w:uiPriority w:val="34"/>
    <w:qFormat/>
    <w:rsid w:val="006B7F99"/>
    <w:pPr>
      <w:ind w:left="720"/>
      <w:contextualSpacing/>
    </w:pPr>
  </w:style>
  <w:style w:type="character" w:styleId="Strong">
    <w:name w:val="Strong"/>
    <w:basedOn w:val="DefaultParagraphFont"/>
    <w:uiPriority w:val="22"/>
    <w:qFormat/>
    <w:rsid w:val="00604289"/>
    <w:rPr>
      <w:b/>
      <w:bCs/>
    </w:rPr>
  </w:style>
  <w:style w:type="character" w:styleId="FollowedHyperlink">
    <w:name w:val="FollowedHyperlink"/>
    <w:basedOn w:val="DefaultParagraphFont"/>
    <w:uiPriority w:val="99"/>
    <w:semiHidden/>
    <w:unhideWhenUsed/>
    <w:rsid w:val="00FC233A"/>
    <w:rPr>
      <w:color w:val="800080" w:themeColor="followedHyperlink"/>
      <w:u w:val="single"/>
    </w:rPr>
  </w:style>
  <w:style w:type="character" w:styleId="UnresolvedMention">
    <w:name w:val="Unresolved Mention"/>
    <w:basedOn w:val="DefaultParagraphFont"/>
    <w:uiPriority w:val="99"/>
    <w:semiHidden/>
    <w:unhideWhenUsed/>
    <w:rsid w:val="0053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01460">
      <w:bodyDiv w:val="1"/>
      <w:marLeft w:val="0"/>
      <w:marRight w:val="0"/>
      <w:marTop w:val="0"/>
      <w:marBottom w:val="0"/>
      <w:divBdr>
        <w:top w:val="none" w:sz="0" w:space="0" w:color="auto"/>
        <w:left w:val="none" w:sz="0" w:space="0" w:color="auto"/>
        <w:bottom w:val="none" w:sz="0" w:space="0" w:color="auto"/>
        <w:right w:val="none" w:sz="0" w:space="0" w:color="auto"/>
      </w:divBdr>
    </w:div>
    <w:div w:id="675765517">
      <w:bodyDiv w:val="1"/>
      <w:marLeft w:val="0"/>
      <w:marRight w:val="0"/>
      <w:marTop w:val="0"/>
      <w:marBottom w:val="0"/>
      <w:divBdr>
        <w:top w:val="none" w:sz="0" w:space="0" w:color="auto"/>
        <w:left w:val="none" w:sz="0" w:space="0" w:color="auto"/>
        <w:bottom w:val="none" w:sz="0" w:space="0" w:color="auto"/>
        <w:right w:val="none" w:sz="0" w:space="0" w:color="auto"/>
      </w:divBdr>
    </w:div>
    <w:div w:id="873229614">
      <w:bodyDiv w:val="1"/>
      <w:marLeft w:val="0"/>
      <w:marRight w:val="0"/>
      <w:marTop w:val="0"/>
      <w:marBottom w:val="0"/>
      <w:divBdr>
        <w:top w:val="none" w:sz="0" w:space="0" w:color="auto"/>
        <w:left w:val="none" w:sz="0" w:space="0" w:color="auto"/>
        <w:bottom w:val="none" w:sz="0" w:space="0" w:color="auto"/>
        <w:right w:val="none" w:sz="0" w:space="0" w:color="auto"/>
      </w:divBdr>
    </w:div>
    <w:div w:id="1252081593">
      <w:bodyDiv w:val="1"/>
      <w:marLeft w:val="0"/>
      <w:marRight w:val="0"/>
      <w:marTop w:val="0"/>
      <w:marBottom w:val="0"/>
      <w:divBdr>
        <w:top w:val="none" w:sz="0" w:space="0" w:color="auto"/>
        <w:left w:val="none" w:sz="0" w:space="0" w:color="auto"/>
        <w:bottom w:val="none" w:sz="0" w:space="0" w:color="auto"/>
        <w:right w:val="none" w:sz="0" w:space="0" w:color="auto"/>
      </w:divBdr>
    </w:div>
    <w:div w:id="1667978431">
      <w:bodyDiv w:val="1"/>
      <w:marLeft w:val="0"/>
      <w:marRight w:val="0"/>
      <w:marTop w:val="0"/>
      <w:marBottom w:val="0"/>
      <w:divBdr>
        <w:top w:val="none" w:sz="0" w:space="0" w:color="auto"/>
        <w:left w:val="none" w:sz="0" w:space="0" w:color="auto"/>
        <w:bottom w:val="none" w:sz="0" w:space="0" w:color="auto"/>
        <w:right w:val="none" w:sz="0" w:space="0" w:color="auto"/>
      </w:divBdr>
    </w:div>
    <w:div w:id="19839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gail@infocusinternational.com" TargetMode="External"/><Relationship Id="rId5" Type="http://schemas.openxmlformats.org/officeDocument/2006/relationships/hyperlink" Target="https://www.infocusinternational.com/e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Infocus</dc:creator>
  <cp:lastModifiedBy>Abigail Hannah Harris</cp:lastModifiedBy>
  <cp:revision>11</cp:revision>
  <dcterms:created xsi:type="dcterms:W3CDTF">2020-12-16T02:59:00Z</dcterms:created>
  <dcterms:modified xsi:type="dcterms:W3CDTF">2021-02-03T07:07:00Z</dcterms:modified>
</cp:coreProperties>
</file>